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3A5F"/>
          <w:sz w:val="48"/>
        </w:rPr>
        <w:t>Anthropic Cyber Verification Program — Submission Draft</w:t>
      </w:r>
    </w:p>
    <w:p>
      <w:r>
        <w:rPr>
          <w:rFonts w:ascii="Calibri" w:hAnsi="Calibri"/>
          <w:b w:val="0"/>
          <w:i/>
          <w:sz w:val="22"/>
        </w:rPr>
        <w:t>Reference content for the form at claude.com/form/cyber-use-case. Copy each section into the corresponding form field; adjust the bracketed placeholders before submitting.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Project: Archimedes — an autonomous defensive CTI analyst agent built on Claude Code.</w:t>
      </w:r>
    </w:p>
    <w:p>
      <w:pPr>
        <w:jc w:val="center"/>
      </w:pPr>
      <w:r>
        <w:rPr>
          <w:color w:val="999999"/>
          <w:sz w:val="20"/>
        </w:rPr>
        <w:t>• • •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1.  Use case description</w:t>
      </w:r>
    </w:p>
    <w:p>
      <w:r>
        <w:rPr>
          <w:rFonts w:ascii="Calibri" w:hAnsi="Calibri"/>
          <w:b w:val="0"/>
          <w:i w:val="0"/>
          <w:sz w:val="22"/>
        </w:rPr>
        <w:t>Archimedes is an autonomous defensive Cyber Threat Intelligence (CTI) analyst agent built on Claude Code. It serves a defensive CTI workflow at [your organization / team name], a US aerospace and defense contractor environment.</w:t>
      </w:r>
    </w:p>
    <w:p>
      <w:r>
        <w:rPr>
          <w:rFonts w:ascii="Calibri" w:hAnsi="Calibri"/>
          <w:b w:val="0"/>
          <w:i w:val="0"/>
          <w:sz w:val="22"/>
        </w:rPr>
        <w:t>The agent ingests open-source intelligence (~45 vetted sources including CISA KEV, Mandiant, Unit 42, MSTIC, CrowdStrike, BleepingComputer, The Record), grades each source-claim per the NATO Admiralty Scale (AJP-2.1), and produces twice-daily intelligence briefs (08:00 + 16:00 EDT) to a private Discord channel for the security team and leadership. It also maintains a structured corpus of threat actor dossiers and CVE tracking entries, and supports operator-driven queries via slash commands (/cve &lt;id&gt;, /investigate &lt;target&gt;, /ioc-hunt &lt;indicator&gt;).</w:t>
      </w:r>
    </w:p>
    <w:p>
      <w:r>
        <w:rPr>
          <w:rFonts w:ascii="Calibri" w:hAnsi="Calibri"/>
          <w:b w:val="0"/>
          <w:i w:val="0"/>
          <w:sz w:val="22"/>
        </w:rPr>
        <w:t>The agent is exclusively defensive. It does not generate exploit code, does not perform active reconnaissance against non-authorized targets, does not originate attribution claims, and does not produce offensive tooling of any kind.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2.  Defensive intent — what the agent does NOT do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No exploitation, ever. </w:t>
      </w:r>
      <w:r>
        <w:rPr>
          <w:rFonts w:ascii="Calibri" w:hAnsi="Calibri"/>
          <w:sz w:val="22"/>
        </w:rPr>
        <w:t>Hard Rule 3 in the agent's doctrine. Agent refuses to generate proof-of-concept code, payloads, exploit guides, or assistance attacking any system — including for "testing," "research," or "educational" purposes.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No active scanning of third parties. </w:t>
      </w:r>
      <w:r>
        <w:rPr>
          <w:rFonts w:ascii="Calibri" w:hAnsi="Calibri"/>
          <w:sz w:val="22"/>
        </w:rPr>
        <w:t>Hard Rule 4. Active reconnaissance is permitted only against assets in infrastructure/authorized-targets.yaml (the operator's own infrastructure). MCP wrappers for SpiderFoot and theHarvester enforce module-level passive-only allowlists in code — non-passive modules are rejected before any HTTP call is made.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No originating attribution. </w:t>
      </w:r>
      <w:r>
        <w:rPr>
          <w:rFonts w:ascii="Calibri" w:hAnsi="Calibri"/>
          <w:sz w:val="22"/>
        </w:rPr>
        <w:t>Hard Rule 2. The agent only reports what other named sources have already attributed, citing them; it does not generate first-time threat-actor attributions.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No credential handling. </w:t>
      </w:r>
      <w:r>
        <w:rPr>
          <w:rFonts w:ascii="Calibri" w:hAnsi="Calibri"/>
          <w:sz w:val="22"/>
        </w:rPr>
        <w:t>Hard Rule 7. If a query surfaces credentials, the agent counts and reports exposure, then discards. It does not store credentials, hashes-labeled-as-credentials, or personally identifiable information.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3.  Safety controls in place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Doctrine-as-code. </w:t>
      </w:r>
      <w:r>
        <w:rPr>
          <w:rFonts w:ascii="Calibri" w:hAnsi="Calibri"/>
          <w:sz w:val="22"/>
        </w:rPr>
        <w:t>Every behavior the agent exhibits traces to a versioned .md file in the project's doctrine/ directory. Six files (LEGAL-POLICY, INTEL-GRADING, INTEL-BRIEF-STANDARDS, THREAT-BOX-METHODOLOGY, RETRACTION-POLICY, FLASH-POLICY) govern grading, brief composition, retraction handling, and trigger conditions. Versioned in git; reviewable; auditable.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MCP wrappers enforce policy in code, not prose. </w:t>
      </w:r>
      <w:r>
        <w:rPr>
          <w:rFonts w:ascii="Calibri" w:hAnsi="Calibri"/>
          <w:sz w:val="22"/>
        </w:rPr>
        <w:t>Hard-coded allowlists in the integration layer refuse non-passive operations before any HTTP request — see mcps/spiderfoot/src/spiderfoot_mcp/policy.py for the canonical example.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Single-writer side effects. </w:t>
      </w:r>
      <w:r>
        <w:rPr>
          <w:rFonts w:ascii="Calibri" w:hAnsi="Calibri"/>
          <w:sz w:val="22"/>
        </w:rPr>
        <w:t>A dedicated librarian subagent is the only component allowed to write to git, Splunk, or Discord. Every external publication passes through a LEGAL-POLICY content-scan gate that refuses credential patterns, TLP:RED material, and ITAR-questionable detail.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Three-log audit trail. </w:t>
      </w:r>
      <w:r>
        <w:rPr>
          <w:rFonts w:ascii="Calibri" w:hAnsi="Calibri"/>
          <w:sz w:val="22"/>
        </w:rPr>
        <w:t>Every agent action produces (1) a git commit, (2) a Splunk event with run_id, and (3) a Discord channel post. The three logs are joinable on run_id; any action can be reconstructed post-hoc.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Refusal logging. </w:t>
      </w:r>
      <w:r>
        <w:rPr>
          <w:rFonts w:ascii="Calibri" w:hAnsi="Calibri"/>
          <w:sz w:val="22"/>
        </w:rPr>
        <w:t>Every Hard Rule refusal is logged to infrastructure/policy-violations.yaml with timestamp, attempted action, and reason. Auditable record of what the agent was asked to do but refused.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Human approval gates on high-stakes decisions. </w:t>
      </w:r>
      <w:r>
        <w:rPr>
          <w:rFonts w:ascii="Calibri" w:hAnsi="Calibri"/>
          <w:sz w:val="22"/>
        </w:rPr>
        <w:t>When the agent proposes a HIGH threat-actor scoring, it does not auto-commit — it posts to a review channel and waits for an operator's explicit approval (/approve-scoring &lt;actor-id&gt;). Five of five actor scorings to date have stayed below HIGH; the gate is preserved.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4.  Example queries (the kind that would be made)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/cve CVE-2026-XXXX — </w:t>
      </w:r>
      <w:r>
        <w:rPr>
          <w:rFonts w:ascii="Calibri" w:hAnsi="Calibri"/>
          <w:sz w:val="22"/>
        </w:rPr>
        <w:t>Pull NVD record, CISA KEV status, vendor patch advisory for a vulnerability; summarize patch posture and defensive priority for the security team. Use case is patch-management and defensive prioritization, not exploit research.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/investigate &lt;actor&gt; — </w:t>
      </w:r>
      <w:r>
        <w:rPr>
          <w:rFonts w:ascii="Calibri" w:hAnsi="Calibri"/>
          <w:sz w:val="22"/>
        </w:rPr>
        <w:t>Pull existing tracked-actor dossier, summarize recent reporting from Tier-1 sources (Mandiant, Unit 42, MSTIC) on tactics, techniques, and procedures; produce a defender-focused situational summary.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/ioc-hunt &lt;indicator&gt; — </w:t>
      </w:r>
      <w:r>
        <w:rPr>
          <w:rFonts w:ascii="Calibri" w:hAnsi="Calibri"/>
          <w:sz w:val="22"/>
        </w:rPr>
        <w:t>Check an indicator against the local corpus, internal Splunk telemetry, and external reputation services (VirusTotal, AbuseIPDB). Used to determine whether a suspicious IP has any history relevant to defense.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Twice-daily morning + afternoon briefs — </w:t>
      </w:r>
      <w:r>
        <w:rPr>
          <w:rFonts w:ascii="Calibri" w:hAnsi="Calibri"/>
          <w:sz w:val="22"/>
        </w:rPr>
        <w:t>Automated runs that read overnight OSINT, grade against Admiralty, surface 4-8 items the operator's security team and leadership should know about. Output is a ~250-word Smart Brevity summary in a Discord channel.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5.  Why the AUP filter is firing today</w:t>
      </w:r>
    </w:p>
    <w:p>
      <w:r>
        <w:rPr>
          <w:rFonts w:ascii="Calibri" w:hAnsi="Calibri"/>
          <w:b w:val="0"/>
          <w:i w:val="0"/>
          <w:sz w:val="22"/>
        </w:rPr>
        <w:t>The agent's defensive CTI work involves naming CVEs, threat groups, and TTPs — the same surface vocabulary used in offensive security research. The Anthropic Usage Policy classifier appropriately errs on the side of caution on cyber-adjacent queries, and we have hit refusals on routine defensive workflows (for example, requesting a patch-posture summary for a published, CISA-listed CVE). Cyber Verification will calibrate the classifier to this account's verified defensive use case so the agent's standard /cve workflow can proceed without manual rephrasing.</w:t>
      </w:r>
    </w:p>
    <w:p>
      <w:pPr>
        <w:jc w:val="center"/>
      </w:pPr>
      <w:r>
        <w:rPr>
          <w:color w:val="999999"/>
          <w:sz w:val="20"/>
        </w:rPr>
        <w:t>• • •</w:t>
      </w:r>
    </w:p>
    <w:p>
      <w:pPr>
        <w:pStyle w:val="Heading2"/>
      </w:pPr>
      <w:r>
        <w:rPr>
          <w:rFonts w:ascii="Calibri" w:hAnsi="Calibri"/>
          <w:color w:val="1F3A5F"/>
          <w:sz w:val="32"/>
        </w:rPr>
        <w:t>Notes before submitting</w:t>
      </w:r>
    </w:p>
    <w:p>
      <w:pPr>
        <w:pStyle w:val="ListBullet"/>
      </w:pPr>
      <w:r>
        <w:rPr>
          <w:rFonts w:ascii="Calibri" w:hAnsi="Calibri"/>
          <w:sz w:val="22"/>
        </w:rPr>
        <w:t>Replace [your organization / team name] in Section 1 with the name you want on the record.</w:t>
      </w:r>
    </w:p>
    <w:p>
      <w:pPr>
        <w:pStyle w:val="ListBullet"/>
      </w:pPr>
      <w:r>
        <w:rPr>
          <w:rFonts w:ascii="Calibri" w:hAnsi="Calibri"/>
          <w:sz w:val="22"/>
        </w:rPr>
        <w:t>If the form has a character limit per field, prioritize Sections 1, 2, and 3 over Sections 4 and 5 — the latter two are nice-to-have, the former three are load-bearing.</w:t>
      </w:r>
    </w:p>
    <w:p>
      <w:pPr>
        <w:pStyle w:val="ListBullet"/>
      </w:pPr>
      <w:r>
        <w:rPr>
          <w:rFonts w:ascii="Calibri" w:hAnsi="Calibri"/>
          <w:sz w:val="22"/>
        </w:rPr>
        <w:t>If asked for supporting links or repository visibility, the Archimedes repo is at https://github.com/ryansketch01/archimedes — note that doctrine/ is the most useful directory for reviewers to look 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