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bookmarkStart w:id="27" w:name="activity-flow"/>
    <w:p>
      <w:pPr>
        <w:pStyle w:val="Heading3"/>
      </w:pPr>
      <w:r>
        <w:t xml:space="preserve">Activity Flow</w:t>
      </w:r>
    </w:p>
    <w:p>
      <w:pPr>
        <w:pStyle w:val="FirstParagraph"/>
      </w:pPr>
    </w:p>
    <w:p>
      <w:pPr>
        <w:pStyle w:val="BodyText"/>
      </w:pPr>
      <w:r>
        <w:drawing>
          <wp:inline>
            <wp:extent cx="5334000" cy="7171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71712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yan\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6">
              <w:r>
                <w:rPr>
                  <w:rStyle w:val="Hyperlink"/>
                </w:rPr>
                <w:t xml:space="preserve">Explore the research →</w:t>
              </w:r>
            </w:hyperlink>
          </w:p>
          <w:p/>
        </w:tc>
      </w:tr>
    </w:tbl>
    <w:bookmarkEnd w:id="27"/>
    <w:bookmarkEnd w:id="28"/>
    <w:bookmarkStart w:id="37" w:name="grade-band-versions"/>
    <w:p>
      <w:pPr>
        <w:pStyle w:val="Heading2"/>
      </w:pPr>
      <w:r>
        <w:t xml:space="preserve">Grade-Band Versions</w:t>
      </w:r>
    </w:p>
    <w:bookmarkStart w:id="30"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9">
        <w:r>
          <w:rPr>
            <w:rStyle w:val="Hyperlink"/>
          </w:rPr>
          <w:t xml:space="preserve">View K-2 Version</w:t>
        </w:r>
      </w:hyperlink>
    </w:p>
    <w:bookmarkEnd w:id="30"/>
    <w:bookmarkStart w:id="32"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31">
        <w:r>
          <w:rPr>
            <w:rStyle w:val="Hyperlink"/>
          </w:rPr>
          <w:t xml:space="preserve">View Grades 3-5 Version</w:t>
        </w:r>
      </w:hyperlink>
    </w:p>
    <w:bookmarkEnd w:id="32"/>
    <w:bookmarkStart w:id="34"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33">
        <w:r>
          <w:rPr>
            <w:rStyle w:val="Hyperlink"/>
          </w:rPr>
          <w:t xml:space="preserve">View Grades 6-8 Version</w:t>
        </w:r>
      </w:hyperlink>
    </w:p>
    <w:bookmarkEnd w:id="34"/>
    <w:bookmarkStart w:id="36"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5">
        <w:r>
          <w:rPr>
            <w:rStyle w:val="Hyperlink"/>
          </w:rPr>
          <w:t xml:space="preserve">View Grades 9-12 Version</w:t>
        </w:r>
      </w:hyperlink>
    </w:p>
    <w:bookmarkEnd w:id="36"/>
    <w:bookmarkEnd w:id="37"/>
    <w:bookmarkStart w:id="38" w:name="nice-framework-alignment"/>
    <w:p>
      <w:pPr>
        <w:pStyle w:val="Heading2"/>
      </w:pPr>
      <w:r>
        <w:t xml:space="preserve">NICE Framework Alignment</w:t>
      </w:r>
    </w:p>
    <w:p>
      <w:pPr>
        <w:pStyle w:val="FirstParagraph"/>
      </w:pPr>
      <w:r>
        <w:rPr>
          <w:b/>
          <w:bCs/>
        </w:rPr>
        <w:t xml:space="preserve">Primary Work Roles</w:t>
      </w:r>
      <w:r>
        <w:t xml:space="preserve">: Cyber Defense Analyst (PR-CDA-001) and Vulnerability Assessment Analyst (PR-VAM-001)</w:t>
      </w:r>
    </w:p>
    <w:p>
      <w:pPr>
        <w:pStyle w:val="BodyText"/>
      </w:pPr>
      <w:r>
        <w:rPr>
          <w:b/>
          <w:bCs/>
        </w:rPr>
        <w:t xml:space="preserve">Skills students practice</w:t>
      </w:r>
      <w:r>
        <w:t xml:space="preserve">: Log analysis, indicator correlation, human-AI collaboration, and threat assessment</w:t>
      </w:r>
    </w:p>
    <w:bookmarkEnd w:id="38"/>
    <w:bookmarkStart w:id="44" w:name="supporting-materials"/>
    <w:p>
      <w:pPr>
        <w:pStyle w:val="Heading2"/>
      </w:pPr>
      <w:r>
        <w:t xml:space="preserve">Supporting Materials</w:t>
      </w:r>
    </w:p>
    <w:p>
      <w:pPr>
        <w:pStyle w:val="Compact"/>
        <w:numPr>
          <w:ilvl w:val="0"/>
          <w:numId w:val="1001"/>
        </w:numPr>
      </w:pPr>
      <w:hyperlink r:id="rId39">
        <w:r>
          <w:rPr>
            <w:rStyle w:val="Hyperlink"/>
          </w:rPr>
          <w:t xml:space="preserve">Career Connections</w:t>
        </w:r>
      </w:hyperlink>
    </w:p>
    <w:p>
      <w:pPr>
        <w:pStyle w:val="Compact"/>
        <w:numPr>
          <w:ilvl w:val="0"/>
          <w:numId w:val="1001"/>
        </w:numPr>
      </w:pPr>
      <w:hyperlink r:id="rId40">
        <w:r>
          <w:rPr>
            <w:rStyle w:val="Hyperlink"/>
          </w:rPr>
          <w:t xml:space="preserve">Quick-Start Guide</w:t>
        </w:r>
      </w:hyperlink>
    </w:p>
    <w:p>
      <w:pPr>
        <w:pStyle w:val="Compact"/>
        <w:numPr>
          <w:ilvl w:val="0"/>
          <w:numId w:val="1001"/>
        </w:numPr>
      </w:pPr>
      <w:hyperlink r:id="rId41">
        <w:r>
          <w:rPr>
            <w:rStyle w:val="Hyperlink"/>
          </w:rPr>
          <w:t xml:space="preserve">Student Worksheet</w:t>
        </w:r>
      </w:hyperlink>
    </w:p>
    <w:p>
      <w:pPr>
        <w:pStyle w:val="Compact"/>
        <w:numPr>
          <w:ilvl w:val="0"/>
          <w:numId w:val="1001"/>
        </w:numPr>
      </w:pPr>
      <w:hyperlink r:id="rId42">
        <w:r>
          <w:rPr>
            <w:rStyle w:val="Hyperlink"/>
          </w:rPr>
          <w:t xml:space="preserve">Evidence Packet</w:t>
        </w:r>
      </w:hyperlink>
    </w:p>
    <w:p>
      <w:pPr>
        <w:pStyle w:val="Compact"/>
        <w:numPr>
          <w:ilvl w:val="0"/>
          <w:numId w:val="1001"/>
        </w:numPr>
      </w:pPr>
      <w:hyperlink r:id="rId43">
        <w:r>
          <w:rPr>
            <w:rStyle w:val="Hyperlink"/>
          </w:rPr>
          <w:t xml:space="preserve">AI Response Cards</w:t>
        </w:r>
      </w:hyperlink>
      <w:r>
        <w:t xml:space="preserve"> </w:t>
      </w:r>
      <w:r>
        <w:t xml:space="preserve">(for low-resource implementation)</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_rels/footnotes.xml.rels><?xml version="1.0" encoding="UTF-8"?><Relationships xmlns="http://schemas.openxmlformats.org/package/2006/relationships"><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2025-12-06T14:50:24Z</dcterms:created>
  <dcterms:modified xsi:type="dcterms:W3CDTF">2025-12-06T14:50:24Z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