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3-5.SEC.SAF</w:t>
      </w:r>
      <w:r>
        <w:t xml:space="preserve">: Understanding safety procedures</w:t>
      </w:r>
    </w:p>
    <w:p>
      <w:pPr>
        <w:pStyle w:val="Compact"/>
        <w:numPr>
          <w:ilvl w:val="0"/>
          <w:numId w:val="1002"/>
        </w:numPr>
      </w:pPr>
      <w:r>
        <w:rPr>
          <w:b/>
          <w:bCs/>
        </w:rPr>
        <w:t xml:space="preserve">3-5.DC.CIT</w:t>
      </w:r>
      <w:r>
        <w:t xml:space="preserve">: Digital citizenship and responsibility</w:t>
      </w:r>
    </w:p>
    <w:p>
      <w:pPr>
        <w:pStyle w:val="Compact"/>
        <w:numPr>
          <w:ilvl w:val="0"/>
          <w:numId w:val="1002"/>
        </w:numPr>
      </w:pPr>
      <w:r>
        <w:rPr>
          <w:b/>
          <w:bCs/>
        </w:rPr>
        <w:t xml:space="preserve">3-5.SEC.RES</w:t>
      </w:r>
      <w:r>
        <w:t xml:space="preserve">: Responding to technology problems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2025-12-06T14:53:21Z</dcterms:created>
  <dcterms:modified xsi:type="dcterms:W3CDTF">2025-12-06T14:53:21Z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