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"/>
    <w:p>
      <w:pPr>
        <w:pStyle w:val="Heading3"/>
      </w:pPr>
      <w:r>
        <w:t xml:space="preserve">NICE Framework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 Defense Analysis</w:t>
      </w:r>
      <w:r>
        <w:t xml:space="preserve">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</w:t>
      </w:r>
      <w:r>
        <w:t xml:space="preserve">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Cybersecurity Management</w:t>
      </w:r>
      <w:r>
        <w:t xml:space="preserve">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6-8.SEC.NICE</w:t>
      </w:r>
      <w:r>
        <w:t xml:space="preserve">: Understanding NICE Framework roles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6-8.DC.RESP</w:t>
      </w:r>
      <w:r>
        <w:t xml:space="preserve">: Incident response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6-8.SEC.RCVR</w:t>
      </w:r>
      <w:r>
        <w:t xml:space="preserve">: Recovery and resilience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2025-12-06T14:53:50Z</dcterms:created>
  <dcterms:modified xsi:type="dcterms:W3CDTF">2025-12-06T14:53:50Z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