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guides support implementation of the True Teamwork activities across the full spectrum of classroom technology resources.</w:t>
      </w:r>
    </w:p>
    <w:p>
      <w:pPr>
        <w:pStyle w:val="BodyText"/>
      </w:pPr>
      <w:r>
        <w:t xml:space="preserve">A key insight underlies both guides: the core learning outcome, understanding AI as a collaborative partner, does not require every student to have direct AI access. The framing matters more than the technology.</w:t>
      </w:r>
    </w:p>
    <w:bookmarkEnd w:id="20"/>
    <w:bookmarkStart w:id="27" w:name="available-guides"/>
    <w:p>
      <w:pPr>
        <w:pStyle w:val="Heading2"/>
      </w:pPr>
      <w:r>
        <w:t xml:space="preserve">Available Guides</w:t>
      </w:r>
    </w:p>
    <w:bookmarkStart w:id="22" w:name="quick-start-guide"/>
    <w:p>
      <w:pPr>
        <w:pStyle w:val="Heading3"/>
      </w:pPr>
      <w:r>
        <w:t xml:space="preserve">Quick Start Guide</w:t>
      </w:r>
    </w:p>
    <w:p>
      <w:pPr>
        <w:pStyle w:val="FirstParagraph"/>
      </w:pPr>
      <w:r>
        <w:t xml:space="preserve">New to these materials? Start here. This guide provides clear entry points by grade band, activity sequence recommendations, prerequisite concepts, implementation time estimates, and the minimum viable implementation path for any classroom context.</w:t>
      </w:r>
    </w:p>
    <w:p>
      <w:pPr>
        <w:pStyle w:val="BodyText"/>
      </w:pPr>
      <w:hyperlink r:id="rId21">
        <w:r>
          <w:rPr>
            <w:rStyle w:val="Hyperlink"/>
          </w:rPr>
          <w:t xml:space="preserve">View Quick Start Guide</w:t>
        </w:r>
      </w:hyperlink>
    </w:p>
    <w:bookmarkEnd w:id="22"/>
    <w:bookmarkStart w:id="24"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3">
        <w:r>
          <w:rPr>
            <w:rStyle w:val="Hyperlink"/>
          </w:rPr>
          <w:t xml:space="preserve">View AI Setup Guide</w:t>
        </w:r>
      </w:hyperlink>
    </w:p>
    <w:bookmarkEnd w:id="24"/>
    <w:bookmarkStart w:id="26"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Teacher as AI Voice, Pre-Generated Response Cards, Rotation Stations, Homework Preparation, Think-Aloud Demonstration, and various hybrid combinations.</w:t>
      </w:r>
    </w:p>
    <w:p>
      <w:pPr>
        <w:pStyle w:val="BodyText"/>
      </w:pPr>
      <w:hyperlink r:id="rId25">
        <w:r>
          <w:rPr>
            <w:rStyle w:val="Hyperlink"/>
          </w:rPr>
          <w:t xml:space="preserve">View Low-Resource Guide</w:t>
        </w:r>
      </w:hyperlink>
    </w:p>
    <w:bookmarkEnd w:id="26"/>
    <w:bookmarkEnd w:id="27"/>
    <w:bookmarkStart w:id="28" w:name="quick-decision-guide"/>
    <w:p>
      <w:pPr>
        <w:pStyle w:val="Heading2"/>
      </w:pPr>
      <w:r>
        <w:t xml:space="preserve">Quick Decision Guide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1:1 devices, student AI accounts</w:t>
            </w:r>
          </w:p>
        </w:tc>
        <w:tc>
          <w:tcPr/>
          <w:p>
            <w:pPr>
              <w:pStyle w:val="Compact"/>
            </w:pPr>
            <w:r>
              <w:t xml:space="preserve">Students partner directly with AI</w:t>
            </w:r>
          </w:p>
        </w:tc>
      </w:tr>
      <w:tr>
        <w:tc>
          <w:tcPr/>
          <w:p>
            <w:pPr>
              <w:pStyle w:val="Compact"/>
            </w:pPr>
            <w:r>
              <w:t xml:space="preserve">Shared devices, class AI account</w:t>
            </w:r>
          </w:p>
        </w:tc>
        <w:tc>
          <w:tcPr/>
          <w:p>
            <w:pPr>
              <w:pStyle w:val="Compact"/>
            </w:pPr>
            <w:r>
              <w:t xml:space="preserve">Rotation stations + demonstrations</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or AI available</w:t>
            </w:r>
          </w:p>
        </w:tc>
        <w:tc>
          <w:tcPr/>
          <w:p>
            <w:pPr>
              <w:pStyle w:val="Compact"/>
            </w:pPr>
            <w:r>
              <w:t xml:space="preserve">Pre-generated response cards, teacher role-play</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32" w:name="key-principles"/>
    <w:p>
      <w:pPr>
        <w:pStyle w:val="Heading2"/>
      </w:pPr>
      <w:r>
        <w:t xml:space="preserve">Key Principles</w:t>
      </w:r>
    </w:p>
    <w:bookmarkStart w:id="29"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9"/>
    <w:bookmarkStart w:id="30"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30"/>
    <w:bookmarkStart w:id="31"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i-setup-guide.qmd" TargetMode="External" /><Relationship Type="http://schemas.openxmlformats.org/officeDocument/2006/relationships/hyperlink" Id="rId25" Target="low-resource-implementation.qmd" TargetMode="External" /><Relationship Type="http://schemas.openxmlformats.org/officeDocument/2006/relationships/hyperlink" Id="rId21" Target="quick-start.qmd" TargetMode="External" /></Relationships>
</file>

<file path=word/_rels/footnotes.xml.rels><?xml version="1.0" encoding="UTF-8"?><Relationships xmlns="http://schemas.openxmlformats.org/package/2006/relationships"><Relationship Type="http://schemas.openxmlformats.org/officeDocument/2006/relationships/hyperlink" Id="rId23" Target="ai-setup-guide.qmd" TargetMode="External" /><Relationship Type="http://schemas.openxmlformats.org/officeDocument/2006/relationships/hyperlink" Id="rId25" Target="low-resource-implementation.qmd" TargetMode="External" /><Relationship Type="http://schemas.openxmlformats.org/officeDocument/2006/relationships/hyperlink" Id="rId21" Target="quick-star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2025-12-06T15:00:26Z</dcterms:created>
  <dcterms:modified xsi:type="dcterms:W3CDTF">2025-12-06T15:00:26Z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