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dc23870900052acfe5346e2450529a5014060fa"/>
    <w:p>
      <w:pPr>
        <w:pStyle w:val="Heading1"/>
      </w:pPr>
      <w:r>
        <w:t xml:space="preserve">Human-AI Partnership Activities for K-12 Cybersecurity Education</w:t>
      </w:r>
    </w:p>
    <w:p>
      <w:pPr>
        <w:pStyle w:val="FirstParagraph"/>
      </w:pPr>
      <w:r>
        <w:rPr>
          <w:b/>
          <w:bCs/>
        </w:rPr>
        <w:t xml:space="preserve">From the NICE K12 Cybersecurity Education Conference 2025</w:t>
      </w:r>
    </w:p>
    <w:p>
      <w:pPr>
        <w:pStyle w:val="BodyText"/>
      </w:pPr>
      <w:r>
        <w:t xml:space="preserve">Three complete, classroom-ready activities, each with four grade-band versions spanning K-2 through 9-12, designed to reshape how students understand AI in cybersecurity.</w:t>
      </w:r>
    </w:p>
    <w:bookmarkEnd w:id="20"/>
    <w:bookmarkStart w:id="25" w:name="the-core-idea"/>
    <w:p>
      <w:pPr>
        <w:pStyle w:val="Heading2"/>
      </w:pPr>
      <w:r>
        <w:t xml:space="preserve">The Core Idea</w:t>
      </w:r>
    </w:p>
    <w:p>
      <w:pPr>
        <w:pStyle w:val="FirstParagraph"/>
      </w:pPr>
      <w:r>
        <w:t xml:space="preserve">These activities guide students beyond viewing AI as merely a tool and toward understanding it as a</w:t>
      </w:r>
      <w:r>
        <w:t xml:space="preserve"> </w:t>
      </w:r>
      <w:r>
        <w:rPr>
          <w:b/>
          <w:bCs/>
        </w:rPr>
        <w:t xml:space="preserve">collaborative partner</w:t>
      </w:r>
      <w:r>
        <w:t xml:space="preserve"> </w:t>
      </w:r>
      <w:r>
        <w:t xml:space="preserve">in cybersecurity work.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Old Thinking</w:t>
            </w:r>
          </w:p>
        </w:tc>
        <w:tc>
          <w:tcPr/>
          <w:p>
            <w:pPr>
              <w:pStyle w:val="Compact"/>
            </w:pPr>
            <w:r>
              <w:t xml:space="preserve">New Thinking</w:t>
            </w:r>
          </w:p>
        </w:tc>
      </w:tr>
      <w:tr>
        <w:tc>
          <w:tcPr/>
          <w:p>
            <w:pPr>
              <w:pStyle w:val="Compact"/>
            </w:pPr>
            <w:r>
              <w:t xml:space="preserve">Humans</w:t>
            </w:r>
            <w:r>
              <w:t xml:space="preserve"> </w:t>
            </w:r>
            <w:r>
              <w:rPr>
                <w:b/>
                <w:bCs/>
              </w:rPr>
              <w:t xml:space="preserve">use</w:t>
            </w:r>
            <w:r>
              <w:t xml:space="preserve"> </w:t>
            </w:r>
            <w:r>
              <w:t xml:space="preserve">AI tools</w:t>
            </w:r>
          </w:p>
        </w:tc>
        <w:tc>
          <w:tcPr/>
          <w:p>
            <w:pPr>
              <w:pStyle w:val="Compact"/>
            </w:pPr>
            <w:r>
              <w:t xml:space="preserve">Humans</w:t>
            </w:r>
            <w:r>
              <w:t xml:space="preserve"> </w:t>
            </w:r>
            <w:r>
              <w:rPr>
                <w:b/>
                <w:bCs/>
              </w:rPr>
              <w:t xml:space="preserve">and</w:t>
            </w:r>
            <w:r>
              <w:t xml:space="preserve"> </w:t>
            </w:r>
            <w:r>
              <w:t xml:space="preserve">AI work as teammates</w:t>
            </w:r>
          </w:p>
        </w:tc>
      </w:tr>
      <w:tr>
        <w:tc>
          <w:tcPr/>
          <w:p>
            <w:pPr>
              <w:pStyle w:val="Compact"/>
            </w:pPr>
            <w:r>
              <w:t xml:space="preserve">AI is either adversary or tool</w:t>
            </w:r>
          </w:p>
        </w:tc>
        <w:tc>
          <w:tcPr/>
          <w:p>
            <w:pPr>
              <w:pStyle w:val="Compact"/>
            </w:pPr>
            <w:r>
              <w:t xml:space="preserve">AI serves as a collaborative partner</w:t>
            </w:r>
          </w:p>
        </w:tc>
      </w:tr>
      <w:tr>
        <w:tc>
          <w:tcPr/>
          <w:p>
            <w:pPr>
              <w:pStyle w:val="Compact"/>
            </w:pPr>
            <w:r>
              <w:t xml:space="preserve">Individual competency matters</w:t>
            </w:r>
          </w:p>
        </w:tc>
        <w:tc>
          <w:tcPr/>
          <w:p>
            <w:pPr>
              <w:pStyle w:val="Compact"/>
            </w:pPr>
            <w:r>
              <w:t xml:space="preserve">Partnership capability matters</w:t>
            </w:r>
          </w:p>
        </w:tc>
      </w:tr>
    </w:tbl>
    <w:p>
      <w:pPr>
        <w:pStyle w:val="BodyText"/>
      </w:pPr>
      <w:r>
        <w:rPr>
          <w:b/>
          <w:bCs/>
        </w:rPr>
        <w:t xml:space="preserve">Why this matters:</w:t>
      </w:r>
      <w:r>
        <w:t xml:space="preserve"> </w:t>
      </w:r>
      <w:r>
        <w:t xml:space="preserve">Contemporary cybersecurity depends on humans and AI working in concert. Students benefit from understanding what each partner contributes, as well as what neither can accomplish alone.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C:\Users\ryan\AppData\Local\Programs\Quarto\share\formats\docx\note.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Learn More: The Theory Behind</w:t>
            </w:r>
            <w:r>
              <w:t xml:space="preserve"> </w:t>
            </w:r>
            <w:r>
              <w:t xml:space="preserve">“AI as Partner”</w:t>
            </w:r>
          </w:p>
        </w:tc>
      </w:tr>
      <w:tr>
        <w:trPr>
          <w:cantSplit/>
        </w:trPr>
        <w:tc>
          <w:tcPr>
            <w:tcMar>
              <w:top w:w="108" w:type="dxa"/>
              <w:bottom w:w="108" w:type="dxa"/>
            </w:tcMar>
          </w:tcPr>
          <w:p>
            <w:pPr>
              <w:pStyle w:val="BodyText"/>
            </w:pPr>
            <w:pPr>
              <w:spacing w:before="16"/>
            </w:pPr>
            <w:r>
              <w:t xml:space="preserve">This framing draws from</w:t>
            </w:r>
            <w:r>
              <w:t xml:space="preserve"> </w:t>
            </w:r>
            <w:r>
              <w:rPr>
                <w:b/>
                <w:bCs/>
              </w:rPr>
              <w:t xml:space="preserve">posthuman educational theory</w:t>
            </w:r>
            <w:r>
              <w:t xml:space="preserve">, which challenges us to see technology not as something we simply</w:t>
            </w:r>
            <w:r>
              <w:t xml:space="preserve"> </w:t>
            </w:r>
            <w:r>
              <w:rPr>
                <w:i/>
                <w:iCs/>
              </w:rPr>
              <w:t xml:space="preserve">use</w:t>
            </w:r>
            <w:r>
              <w:t xml:space="preserve">, but as something we</w:t>
            </w:r>
            <w:r>
              <w:t xml:space="preserve"> </w:t>
            </w:r>
            <w:r>
              <w:rPr>
                <w:i/>
                <w:iCs/>
              </w:rPr>
              <w:t xml:space="preserve">work with</w:t>
            </w:r>
            <w:r>
              <w:t xml:space="preserve">. Rosi Braidotti’s foundational work and Catherine Adams’ practical heuristics for</w:t>
            </w:r>
            <w:r>
              <w:t xml:space="preserve"> </w:t>
            </w:r>
            <w:r>
              <w:t xml:space="preserve">“interviewing digital objects”</w:t>
            </w:r>
            <w:r>
              <w:t xml:space="preserve"> </w:t>
            </w:r>
            <w:r>
              <w:t xml:space="preserve">inform how these activities position AI as a collaborative teammate with distinct capabilities and limitations.</w:t>
            </w:r>
          </w:p>
          <w:p>
            <w:pPr>
              <w:pStyle w:val="BodyText"/>
            </w:pPr>
            <w:pPr>
              <w:spacing w:after="16"/>
            </w:pPr>
            <w:hyperlink r:id="rId24">
              <w:r>
                <w:rPr>
                  <w:rStyle w:val="Hyperlink"/>
                </w:rPr>
                <w:t xml:space="preserve">Explore the research →</w:t>
              </w:r>
            </w:hyperlink>
          </w:p>
          <w:p/>
        </w:tc>
      </w:tr>
    </w:tbl>
    <w:bookmarkEnd w:id="25"/>
    <w:bookmarkStart w:id="27" w:name="the-three-activities"/>
    <w:p>
      <w:pPr>
        <w:pStyle w:val="Heading2"/>
      </w:pPr>
      <w:r>
        <w:t xml:space="preserve">The Three Activities</w:t>
      </w:r>
    </w:p>
    <w:tbl>
      <w:tblPr>
        <w:tblStyle w:val="Table"/>
        <w:tblW w:type="pct" w:w="5000"/>
        <w:tblLayout w:type="fixed"/>
        <w:tblLook w:firstRow="1" w:lastRow="0" w:firstColumn="0" w:lastColumn="0" w:noHBand="0" w:noVBand="0" w:val="0020"/>
      </w:tblPr>
      <w:tblGrid>
        <w:gridCol w:w="2640"/>
        <w:gridCol w:w="1848"/>
        <w:gridCol w:w="3432"/>
      </w:tblGrid>
      <w:tr>
        <w:trPr>
          <w:tblHeader w:val="on"/>
        </w:trPr>
        <w:tc>
          <w:tcPr/>
          <w:p>
            <w:pPr>
              <w:pStyle w:val="Compact"/>
            </w:pPr>
            <w:r>
              <w:t xml:space="preserve">Activity</w:t>
            </w:r>
          </w:p>
        </w:tc>
        <w:tc>
          <w:tcPr/>
          <w:p>
            <w:pPr>
              <w:pStyle w:val="Compact"/>
            </w:pPr>
            <w:r>
              <w:t xml:space="preserve">Focus</w:t>
            </w:r>
          </w:p>
        </w:tc>
        <w:tc>
          <w:tcPr/>
          <w:p>
            <w:pPr>
              <w:pStyle w:val="Compact"/>
            </w:pPr>
            <w:r>
              <w:t xml:space="preserve">Grade Bands</w:t>
            </w:r>
          </w:p>
        </w:tc>
      </w:tr>
      <w:tr>
        <w:tc>
          <w:tcPr/>
          <w:p>
            <w:pPr>
              <w:pStyle w:val="Compact"/>
            </w:pPr>
            <w:r>
              <w:rPr>
                <w:b/>
                <w:bCs/>
              </w:rPr>
              <w:t xml:space="preserve">1. Security Detective Teams</w:t>
            </w:r>
          </w:p>
        </w:tc>
        <w:tc>
          <w:tcPr/>
          <w:p>
            <w:pPr>
              <w:pStyle w:val="Compact"/>
            </w:pPr>
            <w:r>
              <w:t xml:space="preserve">Combining AI pattern recognition with human contextual insight</w:t>
            </w:r>
          </w:p>
        </w:tc>
        <w:tc>
          <w:tcPr/>
          <w:p>
            <w:pPr>
              <w:pStyle w:val="Compact"/>
            </w:pPr>
            <w:r>
              <w:t xml:space="preserve">K-2, 3-5, 6-8, 9-12</w:t>
            </w:r>
          </w:p>
        </w:tc>
      </w:tr>
      <w:tr>
        <w:tc>
          <w:tcPr/>
          <w:p>
            <w:pPr>
              <w:pStyle w:val="Compact"/>
            </w:pPr>
            <w:r>
              <w:rPr>
                <w:b/>
                <w:bCs/>
              </w:rPr>
              <w:t xml:space="preserve">2. Ethics in Automated Security</w:t>
            </w:r>
          </w:p>
        </w:tc>
        <w:tc>
          <w:tcPr/>
          <w:p>
            <w:pPr>
              <w:pStyle w:val="Compact"/>
            </w:pPr>
            <w:r>
              <w:t xml:space="preserve">Developing governance frameworks for AI security systems</w:t>
            </w:r>
          </w:p>
        </w:tc>
        <w:tc>
          <w:tcPr/>
          <w:p>
            <w:pPr>
              <w:pStyle w:val="Compact"/>
            </w:pPr>
            <w:r>
              <w:t xml:space="preserve">K-2, 3-5, 6-8, 9-12</w:t>
            </w:r>
          </w:p>
        </w:tc>
      </w:tr>
      <w:tr>
        <w:tc>
          <w:tcPr/>
          <w:p>
            <w:pPr>
              <w:pStyle w:val="Compact"/>
            </w:pPr>
            <w:r>
              <w:rPr>
                <w:b/>
                <w:bCs/>
              </w:rPr>
              <w:t xml:space="preserve">3. AI-Assisted Incident Response</w:t>
            </w:r>
          </w:p>
        </w:tc>
        <w:tc>
          <w:tcPr/>
          <w:p>
            <w:pPr>
              <w:pStyle w:val="Compact"/>
            </w:pPr>
            <w:r>
              <w:t xml:space="preserve">Coordinating team roles alongside AI under time pressure</w:t>
            </w:r>
          </w:p>
        </w:tc>
        <w:tc>
          <w:tcPr/>
          <w:p>
            <w:pPr>
              <w:pStyle w:val="Compact"/>
            </w:pPr>
            <w:r>
              <w:t xml:space="preserve">K-2, 3-5, 6-8, 9-12</w:t>
            </w:r>
          </w:p>
        </w:tc>
      </w:tr>
    </w:tbl>
    <w:p>
      <w:pPr>
        <w:pStyle w:val="BodyText"/>
      </w:pPr>
      <w:r>
        <w:t xml:space="preserve">Each activity comes with complete lesson plans, student materials, assessment rubrics, and strategies for classrooms with limited technology access.</w:t>
      </w:r>
    </w:p>
    <w:p>
      <w:pPr>
        <w:pStyle w:val="BodyText"/>
      </w:pPr>
      <w:hyperlink r:id="rId26">
        <w:r>
          <w:rPr>
            <w:rStyle w:val="Hyperlink"/>
          </w:rPr>
          <w:t xml:space="preserve">Browse All Activities</w:t>
        </w:r>
      </w:hyperlink>
    </w:p>
    <w:bookmarkEnd w:id="27"/>
    <w:bookmarkStart w:id="36" w:name="supporting-materials"/>
    <w:p>
      <w:pPr>
        <w:pStyle w:val="Heading2"/>
      </w:pPr>
      <w:r>
        <w:t xml:space="preserve">Supporting Materials</w:t>
      </w:r>
    </w:p>
    <w:bookmarkStart w:id="29" w:name="assessments"/>
    <w:p>
      <w:pPr>
        <w:pStyle w:val="Heading3"/>
      </w:pPr>
      <w:r>
        <w:t xml:space="preserve">Assessments</w:t>
      </w:r>
    </w:p>
    <w:p>
      <w:pPr>
        <w:pStyle w:val="FirstParagraph"/>
      </w:pPr>
      <w:r>
        <w:t xml:space="preserve">Rubrics designed around human-AI collaboration competencies, with explicit connections to the NICE Framework.</w:t>
      </w:r>
    </w:p>
    <w:p>
      <w:pPr>
        <w:pStyle w:val="BodyText"/>
      </w:pPr>
      <w:hyperlink r:id="rId28">
        <w:r>
          <w:rPr>
            <w:rStyle w:val="Hyperlink"/>
          </w:rPr>
          <w:t xml:space="preserve">View Assessments</w:t>
        </w:r>
      </w:hyperlink>
    </w:p>
    <w:bookmarkEnd w:id="29"/>
    <w:bookmarkStart w:id="31" w:name="implementation-guides"/>
    <w:p>
      <w:pPr>
        <w:pStyle w:val="Heading3"/>
      </w:pPr>
      <w:r>
        <w:t xml:space="preserve">Implementation Guides</w:t>
      </w:r>
    </w:p>
    <w:p>
      <w:pPr>
        <w:pStyle w:val="FirstParagraph"/>
      </w:pPr>
      <w:r>
        <w:t xml:space="preserve">Practical guidance for AI platform setup alongside strategies for classrooms with limited or no AI access.</w:t>
      </w:r>
    </w:p>
    <w:p>
      <w:pPr>
        <w:pStyle w:val="BodyText"/>
      </w:pPr>
      <w:hyperlink r:id="rId30">
        <w:r>
          <w:rPr>
            <w:rStyle w:val="Hyperlink"/>
          </w:rPr>
          <w:t xml:space="preserve">View Guides</w:t>
        </w:r>
      </w:hyperlink>
    </w:p>
    <w:bookmarkEnd w:id="31"/>
    <w:bookmarkStart w:id="33" w:name="career-connections"/>
    <w:p>
      <w:pPr>
        <w:pStyle w:val="Heading3"/>
      </w:pPr>
      <w:r>
        <w:t xml:space="preserve">Career Connections</w:t>
      </w:r>
    </w:p>
    <w:p>
      <w:pPr>
        <w:pStyle w:val="FirstParagraph"/>
      </w:pPr>
      <w:r>
        <w:t xml:space="preserve">One-page handouts that link each activity to authentic cybersecurity career pathways.</w:t>
      </w:r>
    </w:p>
    <w:p>
      <w:pPr>
        <w:pStyle w:val="BodyText"/>
      </w:pPr>
      <w:hyperlink r:id="rId32">
        <w:r>
          <w:rPr>
            <w:rStyle w:val="Hyperlink"/>
          </w:rPr>
          <w:t xml:space="preserve">View Career Connections</w:t>
        </w:r>
      </w:hyperlink>
    </w:p>
    <w:bookmarkEnd w:id="33"/>
    <w:bookmarkStart w:id="35" w:name="printables"/>
    <w:p>
      <w:pPr>
        <w:pStyle w:val="Heading3"/>
      </w:pPr>
      <w:r>
        <w:t xml:space="preserve">Printables</w:t>
      </w:r>
    </w:p>
    <w:p>
      <w:pPr>
        <w:pStyle w:val="FirstParagraph"/>
      </w:pPr>
      <w:r>
        <w:t xml:space="preserve">Ready-to-print worksheets, evidence packets, and AI response cards for immediate classroom use.</w:t>
      </w:r>
    </w:p>
    <w:p>
      <w:pPr>
        <w:pStyle w:val="BodyText"/>
      </w:pPr>
      <w:hyperlink r:id="rId34">
        <w:r>
          <w:rPr>
            <w:rStyle w:val="Hyperlink"/>
          </w:rPr>
          <w:t xml:space="preserve">View Printables</w:t>
        </w:r>
      </w:hyperlink>
    </w:p>
    <w:bookmarkEnd w:id="35"/>
    <w:bookmarkEnd w:id="36"/>
    <w:bookmarkStart w:id="38" w:name="download-everything"/>
    <w:p>
      <w:pPr>
        <w:pStyle w:val="Heading2"/>
      </w:pPr>
      <w:r>
        <w:t xml:space="preserve">Download Everything</w:t>
      </w:r>
    </w:p>
    <w:p>
      <w:pPr>
        <w:pStyle w:val="FirstParagraph"/>
      </w:pPr>
      <w:r>
        <w:t xml:space="preserve">All materials are available as PDFs and editable DOCX files for offline use and classroom printing.</w:t>
      </w:r>
    </w:p>
    <w:p>
      <w:pPr>
        <w:pStyle w:val="BodyText"/>
      </w:pPr>
      <w:hyperlink r:id="rId37">
        <w:r>
          <w:rPr>
            <w:rStyle w:val="Hyperlink"/>
          </w:rPr>
          <w:t xml:space="preserve">Go to Materials</w:t>
        </w:r>
      </w:hyperlink>
    </w:p>
    <w:bookmarkEnd w:id="38"/>
    <w:bookmarkStart w:id="39" w:name="framework-alignment"/>
    <w:p>
      <w:pPr>
        <w:pStyle w:val="Heading2"/>
      </w:pPr>
      <w:r>
        <w:t xml:space="preserve">Framework Alignment</w:t>
      </w:r>
    </w:p>
    <w:p>
      <w:pPr>
        <w:pStyle w:val="FirstParagraph"/>
      </w:pPr>
      <w:r>
        <w:t xml:space="preserve">Every activity connects to NICE Workforce Framework Work Roles and CYBER.org K-12 Standards. Individual activity pages provide specific alignment details.</w:t>
      </w:r>
    </w:p>
    <w:bookmarkEnd w:id="39"/>
    <w:bookmarkStart w:id="40" w:name="for-cte-cybersecurity-programs"/>
    <w:p>
      <w:pPr>
        <w:pStyle w:val="Heading2"/>
      </w:pPr>
      <w:r>
        <w:t xml:space="preserve">For CTE Cybersecurity Programs</w:t>
      </w:r>
    </w:p>
    <w:p>
      <w:pPr>
        <w:pStyle w:val="FirstParagraph"/>
      </w:pPr>
      <w:r>
        <w:t xml:space="preserve">These activities align directly with Career and Technical Education pathways:</w:t>
      </w:r>
    </w:p>
    <w:tbl>
      <w:tblPr>
        <w:tblStyle w:val="Table"/>
        <w:tblW w:type="pct" w:w="5000"/>
        <w:tblLayout w:type="fixed"/>
        <w:tblLook w:firstRow="1" w:lastRow="0" w:firstColumn="0" w:lastColumn="0" w:noHBand="0" w:noVBand="0" w:val="0020"/>
      </w:tblPr>
      <w:tblGrid>
        <w:gridCol w:w="2262"/>
        <w:gridCol w:w="5657"/>
      </w:tblGrid>
      <w:tr>
        <w:trPr>
          <w:tblHeader w:val="on"/>
        </w:trPr>
        <w:tc>
          <w:tcPr/>
          <w:p>
            <w:pPr>
              <w:pStyle w:val="Compact"/>
            </w:pPr>
            <w:r>
              <w:t xml:space="preserve">CTE Need</w:t>
            </w:r>
          </w:p>
        </w:tc>
        <w:tc>
          <w:tcPr/>
          <w:p>
            <w:pPr>
              <w:pStyle w:val="Compact"/>
            </w:pPr>
            <w:r>
              <w:t xml:space="preserve">How These Materials Help</w:t>
            </w:r>
          </w:p>
        </w:tc>
      </w:tr>
      <w:tr>
        <w:tc>
          <w:tcPr/>
          <w:p>
            <w:pPr>
              <w:pStyle w:val="Compact"/>
            </w:pPr>
            <w:r>
              <w:rPr>
                <w:b/>
                <w:bCs/>
              </w:rPr>
              <w:t xml:space="preserve">Industry-aligned skills</w:t>
            </w:r>
          </w:p>
        </w:tc>
        <w:tc>
          <w:tcPr/>
          <w:p>
            <w:pPr>
              <w:pStyle w:val="Compact"/>
            </w:pPr>
            <w:r>
              <w:t xml:space="preserve">Activities mirror authentic SOC workflows and incident response procedures</w:t>
            </w:r>
          </w:p>
        </w:tc>
      </w:tr>
      <w:tr>
        <w:tc>
          <w:tcPr/>
          <w:p>
            <w:pPr>
              <w:pStyle w:val="Compact"/>
            </w:pPr>
            <w:r>
              <w:rPr>
                <w:b/>
                <w:bCs/>
              </w:rPr>
              <w:t xml:space="preserve">NICE Framework mapping</w:t>
            </w:r>
          </w:p>
        </w:tc>
        <w:tc>
          <w:tcPr/>
          <w:p>
            <w:pPr>
              <w:pStyle w:val="Compact"/>
            </w:pPr>
            <w:r>
              <w:t xml:space="preserve">Every activity explicitly connects to Work Roles (PR-CDA-001, PR-CIR-001, OV-SPP-002)</w:t>
            </w:r>
          </w:p>
        </w:tc>
      </w:tr>
      <w:tr>
        <w:tc>
          <w:tcPr/>
          <w:p>
            <w:pPr>
              <w:pStyle w:val="Compact"/>
            </w:pPr>
            <w:r>
              <w:rPr>
                <w:b/>
                <w:bCs/>
              </w:rPr>
              <w:t xml:space="preserve">Career exploration</w:t>
            </w:r>
          </w:p>
        </w:tc>
        <w:tc>
          <w:tcPr/>
          <w:p>
            <w:pPr>
              <w:pStyle w:val="Compact"/>
            </w:pPr>
            <w:r>
              <w:t xml:space="preserve">One-page career connection handouts link activities to real job pathways</w:t>
            </w:r>
          </w:p>
        </w:tc>
      </w:tr>
      <w:tr>
        <w:tc>
          <w:tcPr/>
          <w:p>
            <w:pPr>
              <w:pStyle w:val="Compact"/>
            </w:pPr>
            <w:r>
              <w:rPr>
                <w:b/>
                <w:bCs/>
              </w:rPr>
              <w:t xml:space="preserve">Employer expectations</w:t>
            </w:r>
          </w:p>
        </w:tc>
        <w:tc>
          <w:tcPr/>
          <w:p>
            <w:pPr>
              <w:pStyle w:val="Compact"/>
            </w:pPr>
            <w:r>
              <w:t xml:space="preserve">Human-AI collaboration is now standard in enterprise security operations</w:t>
            </w:r>
          </w:p>
        </w:tc>
      </w:tr>
    </w:tbl>
    <w:p>
      <w:pPr>
        <w:pStyle w:val="BodyText"/>
      </w:pPr>
      <w:r>
        <w:t xml:space="preserve">The 9-12 versions provide technical depth appropriate for cybersecurity pathway courses, while 6-8 versions work well for exploratory CTE programs.</w:t>
      </w:r>
    </w:p>
    <w:bookmarkEnd w:id="40"/>
    <w:bookmarkStart w:id="41" w:name="for-outreach-programs"/>
    <w:p>
      <w:pPr>
        <w:pStyle w:val="Heading2"/>
      </w:pPr>
      <w:r>
        <w:t xml:space="preserve">For Outreach Programs</w:t>
      </w:r>
    </w:p>
    <w:p>
      <w:pPr>
        <w:pStyle w:val="FirstParagraph"/>
      </w:pPr>
      <w:r>
        <w:t xml:space="preserve">Research centers, universities, and community organizations can deploy these materials with K-12 partners:</w:t>
      </w:r>
    </w:p>
    <w:p>
      <w:pPr>
        <w:pStyle w:val="Compact"/>
        <w:numPr>
          <w:ilvl w:val="0"/>
          <w:numId w:val="1001"/>
        </w:numPr>
      </w:pPr>
      <w:r>
        <w:rPr>
          <w:b/>
          <w:bCs/>
        </w:rPr>
        <w:t xml:space="preserve">Turnkey delivery</w:t>
      </w:r>
      <w:r>
        <w:t xml:space="preserve"> </w:t>
      </w:r>
      <w:r>
        <w:t xml:space="preserve">— Complete lesson plans require minimal customization</w:t>
      </w:r>
    </w:p>
    <w:p>
      <w:pPr>
        <w:pStyle w:val="Compact"/>
        <w:numPr>
          <w:ilvl w:val="0"/>
          <w:numId w:val="1001"/>
        </w:numPr>
      </w:pPr>
      <w:r>
        <w:rPr>
          <w:b/>
          <w:bCs/>
        </w:rPr>
        <w:t xml:space="preserve">Scalable</w:t>
      </w:r>
      <w:r>
        <w:t xml:space="preserve"> </w:t>
      </w:r>
      <w:r>
        <w:t xml:space="preserve">— Works for single classroom visits or semester-long partnerships</w:t>
      </w:r>
    </w:p>
    <w:p>
      <w:pPr>
        <w:pStyle w:val="Compact"/>
        <w:numPr>
          <w:ilvl w:val="0"/>
          <w:numId w:val="1001"/>
        </w:numPr>
      </w:pPr>
      <w:r>
        <w:rPr>
          <w:b/>
          <w:bCs/>
        </w:rPr>
        <w:t xml:space="preserve">Flexible technology requirements</w:t>
      </w:r>
      <w:r>
        <w:t xml:space="preserve"> </w:t>
      </w:r>
      <w:r>
        <w:t xml:space="preserve">— Low-resource options mean any partner school can participate</w:t>
      </w:r>
    </w:p>
    <w:p>
      <w:pPr>
        <w:pStyle w:val="Compact"/>
        <w:numPr>
          <w:ilvl w:val="0"/>
          <w:numId w:val="1001"/>
        </w:numPr>
      </w:pPr>
      <w:r>
        <w:rPr>
          <w:b/>
          <w:bCs/>
        </w:rPr>
        <w:t xml:space="preserve">Assessment-ready</w:t>
      </w:r>
      <w:r>
        <w:t xml:space="preserve"> </w:t>
      </w:r>
      <w:r>
        <w:t xml:space="preserve">— Rubrics help document learning outcomes for grant reporting</w:t>
      </w:r>
    </w:p>
    <w:p>
      <w:pPr>
        <w:pStyle w:val="Compact"/>
        <w:numPr>
          <w:ilvl w:val="0"/>
          <w:numId w:val="1001"/>
        </w:numPr>
      </w:pPr>
      <w:r>
        <w:rPr>
          <w:b/>
          <w:bCs/>
        </w:rPr>
        <w:t xml:space="preserve">Train-the-trainer friendly</w:t>
      </w:r>
      <w:r>
        <w:t xml:space="preserve"> </w:t>
      </w:r>
      <w:r>
        <w:t xml:space="preserve">— Materials are detailed enough for partner teachers to run independently</w:t>
      </w:r>
    </w:p>
    <w:bookmarkEnd w:id="41"/>
    <w:bookmarkStart w:id="42" w:name="steam-integration"/>
    <w:p>
      <w:pPr>
        <w:pStyle w:val="Heading2"/>
      </w:pPr>
      <w:r>
        <w:t xml:space="preserve">STEAM Integration</w:t>
      </w:r>
    </w:p>
    <w:p>
      <w:pPr>
        <w:pStyle w:val="FirstParagraph"/>
      </w:pPr>
      <w:r>
        <w:t xml:space="preserve">These activities connect naturally across disciplines:</w:t>
      </w:r>
    </w:p>
    <w:p>
      <w:pPr>
        <w:pStyle w:val="Compact"/>
        <w:numPr>
          <w:ilvl w:val="0"/>
          <w:numId w:val="1002"/>
        </w:numPr>
      </w:pPr>
      <w:r>
        <w:rPr>
          <w:b/>
          <w:bCs/>
        </w:rPr>
        <w:t xml:space="preserve">Science</w:t>
      </w:r>
      <w:r>
        <w:t xml:space="preserve"> </w:t>
      </w:r>
      <w:r>
        <w:t xml:space="preserve">— Pattern recognition, hypothesis testing, evidence analysis</w:t>
      </w:r>
    </w:p>
    <w:p>
      <w:pPr>
        <w:pStyle w:val="Compact"/>
        <w:numPr>
          <w:ilvl w:val="0"/>
          <w:numId w:val="1002"/>
        </w:numPr>
      </w:pPr>
      <w:r>
        <w:rPr>
          <w:b/>
          <w:bCs/>
        </w:rPr>
        <w:t xml:space="preserve">Technology</w:t>
      </w:r>
      <w:r>
        <w:t xml:space="preserve"> </w:t>
      </w:r>
      <w:r>
        <w:t xml:space="preserve">— AI systems, cybersecurity tools, network concepts</w:t>
      </w:r>
    </w:p>
    <w:p>
      <w:pPr>
        <w:pStyle w:val="Compact"/>
        <w:numPr>
          <w:ilvl w:val="0"/>
          <w:numId w:val="1002"/>
        </w:numPr>
      </w:pPr>
      <w:r>
        <w:rPr>
          <w:b/>
          <w:bCs/>
        </w:rPr>
        <w:t xml:space="preserve">Engineering</w:t>
      </w:r>
      <w:r>
        <w:t xml:space="preserve"> </w:t>
      </w:r>
      <w:r>
        <w:t xml:space="preserve">— Systems thinking, incident response procedures, policy design</w:t>
      </w:r>
    </w:p>
    <w:p>
      <w:pPr>
        <w:pStyle w:val="Compact"/>
        <w:numPr>
          <w:ilvl w:val="0"/>
          <w:numId w:val="1002"/>
        </w:numPr>
      </w:pPr>
      <w:r>
        <w:rPr>
          <w:b/>
          <w:bCs/>
        </w:rPr>
        <w:t xml:space="preserve">Arts</w:t>
      </w:r>
      <w:r>
        <w:t xml:space="preserve"> </w:t>
      </w:r>
      <w:r>
        <w:t xml:space="preserve">— Communication design, stakeholder messaging, ethical reasoning</w:t>
      </w:r>
    </w:p>
    <w:p>
      <w:pPr>
        <w:pStyle w:val="Compact"/>
        <w:numPr>
          <w:ilvl w:val="0"/>
          <w:numId w:val="1002"/>
        </w:numPr>
      </w:pPr>
      <w:r>
        <w:rPr>
          <w:b/>
          <w:bCs/>
        </w:rPr>
        <w:t xml:space="preserve">Mathematics</w:t>
      </w:r>
      <w:r>
        <w:t xml:space="preserve"> </w:t>
      </w:r>
      <w:r>
        <w:t xml:space="preserve">— Data analysis, probability (false positives), timeline reconstruction</w:t>
      </w:r>
    </w:p>
    <w:p>
      <w:pPr>
        <w:pStyle w:val="FirstParagraph"/>
      </w:pPr>
      <w:r>
        <w:t xml:space="preserve">The investigation and policy design activities work especially well in interdisciplinary or project-based learning contexts.</w:t>
      </w:r>
    </w:p>
    <w:bookmarkEnd w:id="42"/>
    <w:bookmarkStart w:id="50" w:name="about-these-materials"/>
    <w:p>
      <w:pPr>
        <w:pStyle w:val="Heading2"/>
      </w:pPr>
      <w:r>
        <w:t xml:space="preserve">About These Materials</w:t>
      </w:r>
    </w:p>
    <w:p>
      <w:pPr>
        <w:pStyle w:val="FirstParagraph"/>
      </w:pPr>
      <w:r>
        <w:t xml:space="preserve">These resources were developed for the NICE K12 Cybersecurity Education Conference 2025 session presented by Ryan Straight, Rob Honomichl, and Paul Wagner from Cyber Operations in the College of Information Science at the University of Arizona.</w:t>
      </w:r>
    </w:p>
    <w:p>
      <w:pPr>
        <w:pStyle w:val="BodyText"/>
      </w:pPr>
      <w:r>
        <w:rPr>
          <w:b/>
          <w:bCs/>
        </w:rPr>
        <w:t xml:space="preserve">Contact</w:t>
      </w:r>
      <w:r>
        <w:t xml:space="preserve">:</w:t>
      </w:r>
      <w:r>
        <w:t xml:space="preserve"> </w:t>
      </w:r>
      <w:hyperlink r:id="rId43">
        <w:r>
          <w:rPr>
            <w:rStyle w:val="Hyperlink"/>
          </w:rPr>
          <w:t xml:space="preserve">ryanstraight@arizona.edu</w:t>
        </w:r>
      </w:hyperlink>
      <w:r>
        <w:br/>
      </w:r>
      <w:r>
        <w:rPr>
          <w:b/>
          <w:bCs/>
        </w:rPr>
        <w:t xml:space="preserve">ORCID</w:t>
      </w:r>
      <w:r>
        <w:t xml:space="preserve">:</w:t>
      </w:r>
      <w:r>
        <w:t xml:space="preserve"> </w:t>
      </w:r>
      <w:hyperlink r:id="rId44">
        <w:r>
          <w:rPr>
            <w:rStyle w:val="Hyperlink"/>
          </w:rPr>
          <w:t xml:space="preserve">0000-0002-6251-5662</w:t>
        </w:r>
      </w:hyperlink>
    </w:p>
    <w:p>
      <w:pPr>
        <w:pStyle w:val="BodyText"/>
      </w:pPr>
      <w:hyperlink r:id="rId45">
        <w:r>
          <w:rPr>
            <w:rStyle w:val="Hyperlink"/>
          </w:rPr>
          <w:t xml:space="preserve">Learn More</w:t>
        </w:r>
      </w:hyperlink>
    </w:p>
    <w:p>
      <w:r>
        <w:pict>
          <v:rect style="width:0;height:1.5pt" o:hralign="center" o:hrstd="t" o:hr="t"/>
        </w:pic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7" name="Picture"/>
                  <a:graphic>
                    <a:graphicData uri="http://schemas.openxmlformats.org/drawingml/2006/picture">
                      <pic:pic>
                        <pic:nvPicPr>
                          <pic:cNvPr descr="C:\Users\ryan\AppData\Local\Programs\Quarto\share\formats\docx\tip.png" id="48" name="Picture"/>
                          <pic:cNvPicPr>
                            <a:picLocks noChangeArrowheads="1" noChangeAspect="1"/>
                          </pic:cNvPicPr>
                        </pic:nvPicPr>
                        <pic:blipFill>
                          <a:blip r:embed="rId4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Limited Technology Access? No Problem.</w:t>
            </w:r>
          </w:p>
        </w:tc>
      </w:tr>
      <w:tr>
        <w:trPr>
          <w:cantSplit/>
        </w:trPr>
        <w:tc>
          <w:tcPr>
            <w:tcMar>
              <w:top w:w="108" w:type="dxa"/>
              <w:bottom w:w="108" w:type="dxa"/>
            </w:tcMar>
          </w:tcPr>
          <w:p>
            <w:pPr>
              <w:pStyle w:val="BodyText"/>
            </w:pPr>
            <w:pPr>
              <w:spacing w:before="16" w:after="16"/>
            </w:pPr>
            <w:r>
              <w:t xml:space="preserve">These activities function effectively at any level of AI access, including none at all. The</w:t>
            </w:r>
            <w:r>
              <w:t xml:space="preserve"> </w:t>
            </w:r>
            <w:hyperlink r:id="rId49">
              <w:r>
                <w:rPr>
                  <w:rStyle w:val="Hyperlink"/>
                </w:rPr>
                <w:t xml:space="preserve">Low-Resource Implementation Guide</w:t>
              </w:r>
            </w:hyperlink>
            <w:r>
              <w:t xml:space="preserve"> </w:t>
            </w:r>
            <w:r>
              <w:t xml:space="preserve">offers strategies that frequently produce richer learning experiences than live AI access.</w:t>
            </w:r>
          </w:p>
          <w:p/>
        </w:tc>
      </w:tr>
    </w:tbl>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46" Target="media/rId46.png" /><Relationship Type="http://schemas.openxmlformats.org/officeDocument/2006/relationships/hyperlink" Id="rId45" Target="about.qmd" TargetMode="External" /><Relationship Type="http://schemas.openxmlformats.org/officeDocument/2006/relationships/hyperlink" Id="rId26" Target="activities/" TargetMode="External" /><Relationship Type="http://schemas.openxmlformats.org/officeDocument/2006/relationships/hyperlink" Id="rId28" Target="assessments/" TargetMode="External" /><Relationship Type="http://schemas.openxmlformats.org/officeDocument/2006/relationships/hyperlink" Id="rId32" Target="career-connections/" TargetMode="External" /><Relationship Type="http://schemas.openxmlformats.org/officeDocument/2006/relationships/hyperlink" Id="rId30" Target="guides/" TargetMode="External" /><Relationship Type="http://schemas.openxmlformats.org/officeDocument/2006/relationships/hyperlink" Id="rId49" Target="guides/low-resource-implementation.qmd" TargetMode="External" /><Relationship Type="http://schemas.openxmlformats.org/officeDocument/2006/relationships/hyperlink" Id="rId44" Target="https://orcid.org/0000-0002-6251-5662" TargetMode="External" /><Relationship Type="http://schemas.openxmlformats.org/officeDocument/2006/relationships/hyperlink" Id="rId43" Target="mailto:ryanstraight@arizona.edu" TargetMode="External" /><Relationship Type="http://schemas.openxmlformats.org/officeDocument/2006/relationships/hyperlink" Id="rId37" Target="materials.qmd" TargetMode="External" /><Relationship Type="http://schemas.openxmlformats.org/officeDocument/2006/relationships/hyperlink" Id="rId34" Target="printables/" TargetMode="External" /><Relationship Type="http://schemas.openxmlformats.org/officeDocument/2006/relationships/hyperlink" Id="rId24" Target="resources/index.qmd#collaboration" TargetMode="External" /></Relationships>
</file>

<file path=word/_rels/footnotes.xml.rels><?xml version="1.0" encoding="UTF-8"?><Relationships xmlns="http://schemas.openxmlformats.org/package/2006/relationships"><Relationship Type="http://schemas.openxmlformats.org/officeDocument/2006/relationships/hyperlink" Id="rId45" Target="about.qmd" TargetMode="External" /><Relationship Type="http://schemas.openxmlformats.org/officeDocument/2006/relationships/hyperlink" Id="rId26" Target="activities/" TargetMode="External" /><Relationship Type="http://schemas.openxmlformats.org/officeDocument/2006/relationships/hyperlink" Id="rId28" Target="assessments/" TargetMode="External" /><Relationship Type="http://schemas.openxmlformats.org/officeDocument/2006/relationships/hyperlink" Id="rId32" Target="career-connections/" TargetMode="External" /><Relationship Type="http://schemas.openxmlformats.org/officeDocument/2006/relationships/hyperlink" Id="rId30" Target="guides/" TargetMode="External" /><Relationship Type="http://schemas.openxmlformats.org/officeDocument/2006/relationships/hyperlink" Id="rId49" Target="guides/low-resource-implementation.qmd" TargetMode="External" /><Relationship Type="http://schemas.openxmlformats.org/officeDocument/2006/relationships/hyperlink" Id="rId44" Target="https://orcid.org/0000-0002-6251-5662" TargetMode="External" /><Relationship Type="http://schemas.openxmlformats.org/officeDocument/2006/relationships/hyperlink" Id="rId43" Target="mailto:ryanstraight@arizona.edu" TargetMode="External" /><Relationship Type="http://schemas.openxmlformats.org/officeDocument/2006/relationships/hyperlink" Id="rId37" Target="materials.qmd" TargetMode="External" /><Relationship Type="http://schemas.openxmlformats.org/officeDocument/2006/relationships/hyperlink" Id="rId34" Target="printables/" TargetMode="External" /><Relationship Type="http://schemas.openxmlformats.org/officeDocument/2006/relationships/hyperlink" Id="rId24" Target="resources/index.qmd#collabor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2025-12-06T15:01:43Z</dcterms:created>
  <dcterms:modified xsi:type="dcterms:W3CDTF">2025-12-06T15:01:43Z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meta-subtitle">
    <vt:lpwstr>Building Human-AI Partnerships for Tomorrow’s Cyber Challenges</vt:lpwstr>
  </property>
  <property fmtid="{D5CDD505-2E9C-101B-9397-08002B2CF9AE}" pid="8" name="meta-title">
    <vt:lpwstr>True Teamwork</vt:lpwstr>
  </property>
  <property fmtid="{D5CDD505-2E9C-101B-9397-08002B2CF9AE}" pid="9" name="page-layout">
    <vt:lpwstr>full</vt:lpwstr>
  </property>
  <property fmtid="{D5CDD505-2E9C-101B-9397-08002B2CF9AE}" pid="10" name="toc-title">
    <vt:lpwstr>Table of contents</vt:lpwstr>
  </property>
</Properties>
</file>