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"/>
    <w:p>
      <w:pPr>
        <w:pStyle w:val="Heading3"/>
      </w:pPr>
      <w:r>
        <w:t xml:space="preserve">NICE Framework Alignment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 Defense Analysis</w:t>
      </w:r>
      <w:r>
        <w:t xml:space="preserve">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</w:t>
      </w:r>
      <w:r>
        <w:t xml:space="preserve">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Cybersecurity Management</w:t>
      </w:r>
      <w:r>
        <w:t xml:space="preserve">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6-8.SEC.NICE</w:t>
      </w:r>
      <w:r>
        <w:t xml:space="preserve">: Understanding NICE Framework roles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6-8.DC.RESP</w:t>
      </w:r>
      <w:r>
        <w:t xml:space="preserve">: Incident response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6-8.SEC.RCVR</w:t>
      </w:r>
      <w:r>
        <w:t xml:space="preserve">: Recovery and resilience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2025-12-06T18:47:58Z</dcterms:created>
  <dcterms:modified xsi:type="dcterms:W3CDTF">2025-12-06T18:47:58Z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