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guides support implementation of the True Teamwork activities across the full spectrum of classroom technology resources.</w:t>
      </w:r>
    </w:p>
    <w:p>
      <w:pPr>
        <w:pStyle w:val="BodyText"/>
      </w:pPr>
      <w:r>
        <w:t xml:space="preserve">A key insight underlies both guides: the core learning outcome, understanding AI as a collaborative partner, does not require every student to have direct AI access. The framing matters more than the technology.</w:t>
      </w:r>
    </w:p>
    <w:bookmarkEnd w:id="20"/>
    <w:bookmarkStart w:id="27" w:name="available-guides"/>
    <w:p>
      <w:pPr>
        <w:pStyle w:val="Heading2"/>
      </w:pPr>
      <w:r>
        <w:t xml:space="preserve">Available Guides</w:t>
      </w:r>
    </w:p>
    <w:bookmarkStart w:id="22"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1">
        <w:r>
          <w:rPr>
            <w:rStyle w:val="Hyperlink"/>
          </w:rPr>
          <w:t xml:space="preserve">View Quick Start Guide</w:t>
        </w:r>
      </w:hyperlink>
    </w:p>
    <w:bookmarkEnd w:id="22"/>
    <w:bookmarkStart w:id="24"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3">
        <w:r>
          <w:rPr>
            <w:rStyle w:val="Hyperlink"/>
          </w:rPr>
          <w:t xml:space="preserve">View AI Setup Guide</w:t>
        </w:r>
      </w:hyperlink>
    </w:p>
    <w:bookmarkEnd w:id="24"/>
    <w:bookmarkStart w:id="26"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Teacher as AI Voice, Pre-Generated Response Cards, Rotation Stations, Homework Preparation, Think-Aloud Demonstration, and various hybrid combinations.</w:t>
      </w:r>
    </w:p>
    <w:p>
      <w:pPr>
        <w:pStyle w:val="BodyText"/>
      </w:pPr>
      <w:hyperlink r:id="rId25">
        <w:r>
          <w:rPr>
            <w:rStyle w:val="Hyperlink"/>
          </w:rPr>
          <w:t xml:space="preserve">View Low-Resource Guide</w:t>
        </w:r>
      </w:hyperlink>
    </w:p>
    <w:bookmarkEnd w:id="26"/>
    <w:bookmarkEnd w:id="27"/>
    <w:bookmarkStart w:id="28" w:name="quick-decision-guide"/>
    <w:p>
      <w:pPr>
        <w:pStyle w:val="Heading2"/>
      </w:pPr>
      <w:r>
        <w:t xml:space="preserve">Quick Decision Guide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1:1 devices, student AI accounts</w:t>
            </w:r>
          </w:p>
        </w:tc>
        <w:tc>
          <w:tcPr/>
          <w:p>
            <w:pPr>
              <w:pStyle w:val="Compact"/>
            </w:pPr>
            <w:r>
              <w:t xml:space="preserve">Students partner directly with AI</w:t>
            </w:r>
          </w:p>
        </w:tc>
      </w:tr>
      <w:tr>
        <w:tc>
          <w:tcPr/>
          <w:p>
            <w:pPr>
              <w:pStyle w:val="Compact"/>
            </w:pPr>
            <w:r>
              <w:t xml:space="preserve">Shared devices, class AI account</w:t>
            </w:r>
          </w:p>
        </w:tc>
        <w:tc>
          <w:tcPr/>
          <w:p>
            <w:pPr>
              <w:pStyle w:val="Compact"/>
            </w:pPr>
            <w:r>
              <w:t xml:space="preserve">Rotation stations + demonstrations</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or AI available</w:t>
            </w:r>
          </w:p>
        </w:tc>
        <w:tc>
          <w:tcPr/>
          <w:p>
            <w:pPr>
              <w:pStyle w:val="Compact"/>
            </w:pPr>
            <w:r>
              <w:t xml:space="preserve">Pre-generated response cards, teacher role-play</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2025-12-06T18:50:32Z</dcterms:created>
  <dcterms:modified xsi:type="dcterms:W3CDTF">2025-12-06T18:50:32Z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