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6"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1718733"/>
            <wp:effectExtent b="0" l="0" r="0" t="0"/>
            <wp:docPr descr="" title="" id="44" name="Picture"/>
            <a:graphic>
              <a:graphicData uri="http://schemas.openxmlformats.org/drawingml/2006/picture">
                <pic:pic>
                  <pic:nvPicPr>
                    <pic:cNvPr descr="low-resource-implementation_files\figure-docx\mermaid-figure-2.png" id="45" name="Picture"/>
                    <pic:cNvPicPr>
                      <a:picLocks noChangeArrowheads="1" noChangeAspect="1"/>
                    </pic:cNvPicPr>
                  </pic:nvPicPr>
                  <pic:blipFill>
                    <a:blip r:embed="rId43"/>
                    <a:stretch>
                      <a:fillRect/>
                    </a:stretch>
                  </pic:blipFill>
                  <pic:spPr bwMode="auto">
                    <a:xfrm>
                      <a:off x="0" y="0"/>
                      <a:ext cx="5334000" cy="171873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6"/>
    <w:bookmarkStart w:id="54" w:name="key-pedagogical-points"/>
    <w:p>
      <w:pPr>
        <w:pStyle w:val="Heading2"/>
      </w:pPr>
      <w:r>
        <w:t xml:space="preserve">Key Pedagogical Points</w:t>
      </w:r>
    </w:p>
    <w:bookmarkStart w:id="47"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7"/>
    <w:bookmarkStart w:id="48"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8"/>
    <w:bookmarkStart w:id="53"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ryan\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52">
              <w:r>
                <w:rPr>
                  <w:rStyle w:val="Hyperlink"/>
                </w:rPr>
                <w:t xml:space="preserve">Explore the research →</w:t>
              </w:r>
            </w:hyperlink>
          </w:p>
          <w:p/>
        </w:tc>
      </w:tr>
    </w:tbl>
    <w:bookmarkEnd w:id="53"/>
    <w:bookmarkEnd w:id="54"/>
    <w:bookmarkStart w:id="55"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5"/>
    <w:bookmarkStart w:id="59" w:name="adapting-specific-activities"/>
    <w:p>
      <w:pPr>
        <w:pStyle w:val="Heading2"/>
      </w:pPr>
      <w:r>
        <w:t xml:space="preserve">Adapting Specific Activities</w:t>
      </w:r>
    </w:p>
    <w:bookmarkStart w:id="56"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6"/>
    <w:bookmarkStart w:id="57"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7"/>
    <w:bookmarkStart w:id="58"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8"/>
    <w:bookmarkEnd w:id="59"/>
    <w:bookmarkStart w:id="63"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Teacher as AI Voice</w:t>
            </w:r>
          </w:p>
        </w:tc>
        <w:tc>
          <w:tcPr/>
          <w:p>
            <w:pPr>
              <w:pStyle w:val="Compact"/>
            </w:pPr>
            <w:r>
              <w:t xml:space="preserve">Young learners benefit from teacher mediation, and a memorable AI character builds engagement</w:t>
            </w:r>
          </w:p>
        </w:tc>
      </w:tr>
      <w:tr>
        <w:tc>
          <w:tcPr/>
          <w:p>
            <w:pPr>
              <w:pStyle w:val="Compact"/>
            </w:pPr>
            <w:r>
              <w:t xml:space="preserve">3-5</w:t>
            </w:r>
          </w:p>
        </w:tc>
        <w:tc>
          <w:tcPr/>
          <w:p>
            <w:pPr>
              <w:pStyle w:val="Compact"/>
            </w:pPr>
            <w:r>
              <w:t xml:space="preserve">Pre-Generated Cards + Teacher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ryan\AppData\Local\Programs\Quarto\share\formats\docx\tip.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Teacher Role-Play.</w:t>
            </w:r>
          </w:p>
          <w:p>
            <w:pPr>
              <w:pStyle w:val="BodyText"/>
            </w:pPr>
            <w:r>
              <w:t xml:space="preserve">If you have one teacher device, use Teacher as AI Voice for grades K-5 or Think-Aloud Demo for grades 6-12.</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3"/>
    <w:bookmarkStart w:id="64"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hyperlink" Id="rId52"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52"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2025-12-06T18:50:44Z</dcterms:created>
  <dcterms:modified xsi:type="dcterms:W3CDTF">2025-12-06T18:50:44Z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