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9-12.DC.THRT</w:t>
      </w:r>
      <w:r>
        <w:t xml:space="preserve">: Threat identification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9-12.SEC.NET</w:t>
      </w:r>
      <w:r>
        <w:t xml:space="preserve">: Network security and monitoring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9-12.SEC.DATA</w:t>
      </w:r>
      <w:r>
        <w:t xml:space="preserve">: Data security and protection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Defensive Cybersecurity (Protection and Defense category)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</w:p>
    <w:p>
      <w:pPr>
        <w:pStyle w:val="BlockText"/>
      </w:pP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FirstParagraph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AI Analysis</w:t>
            </w:r>
          </w:p>
        </w:tc>
        <w:tc>
          <w:tcPr/>
          <w:p>
            <w:pPr>
              <w:pStyle w:val="Compact"/>
            </w:pPr>
            <w:r>
              <w:t xml:space="preserve">My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pattern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Initial access vector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Scope of compromise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AI’s stated limitations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 (v2.0.0)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Defensive Cybersecurity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Forensics</w:t>
            </w:r>
          </w:p>
        </w:tc>
        <w:tc>
          <w:tcPr/>
          <w:p>
            <w:pPr>
              <w:pStyle w:val="Compact"/>
            </w:pPr>
            <w:r>
              <w:t xml:space="preserve">Evidence analysis and investigation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2025-12-09T15:28:33Z</dcterms:created>
  <dcterms:modified xsi:type="dcterms:W3CDTF">2025-12-09T15:28:33Z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