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6-8.DC.PII</w:t>
      </w:r>
      <w:r>
        <w:t xml:space="preserve">: Privacy and personally identifiable information</w:t>
      </w:r>
    </w:p>
    <w:p>
      <w:pPr>
        <w:pStyle w:val="Compact"/>
        <w:numPr>
          <w:ilvl w:val="0"/>
          <w:numId w:val="1002"/>
        </w:numPr>
      </w:pPr>
      <w:r>
        <w:rPr>
          <w:b/>
          <w:bCs/>
        </w:rPr>
        <w:t xml:space="preserve">6-8.DC.LAW</w:t>
      </w:r>
      <w:r>
        <w:t xml:space="preserve">: Legal considerations in cybersecurity</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p>
    <w:p>
      <w:pPr>
        <w:pStyle w:val="BlockText"/>
      </w:pP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FirstParagraph"/>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2025-12-09T15:29:18Z</dcterms:created>
  <dcterms:modified xsi:type="dcterms:W3CDTF">2025-12-09T15:29:18Z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