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pre-generated-response-cards"/>
    <w:p>
      <w:pPr>
        <w:pStyle w:val="Heading2"/>
      </w:pPr>
      <w:r>
        <w:t xml:space="preserve">Strategy 1: Pre-Generated Response Cards</w:t>
      </w:r>
    </w:p>
    <w:p>
      <w:pPr>
        <w:pStyle w:val="FirstParagraph"/>
      </w:pPr>
      <w:r>
        <w:rPr>
          <w:b/>
          <w:bCs/>
        </w:rPr>
        <w:t xml:space="preserve">Best for</w:t>
      </w:r>
      <w:r>
        <w:t xml:space="preserve">: Classrooms with no live AI access available</w:t>
      </w:r>
    </w:p>
    <w:bookmarkStart w:id="21" w:name="how-it-works"/>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1"/>
    <w:bookmarkStart w:id="22"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2"/>
    <w:bookmarkStart w:id="23"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3"/>
    <w:bookmarkStart w:id="24"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4"/>
    <w:bookmarkEnd w:id="25"/>
    <w:bookmarkStart w:id="29" w:name="strategy-2-rotation-station"/>
    <w:p>
      <w:pPr>
        <w:pStyle w:val="Heading2"/>
      </w:pPr>
      <w:r>
        <w:t xml:space="preserve">Strategy 2: Rotation Station</w:t>
      </w:r>
    </w:p>
    <w:p>
      <w:pPr>
        <w:pStyle w:val="FirstParagraph"/>
      </w:pPr>
      <w:r>
        <w:rPr>
          <w:b/>
          <w:bCs/>
        </w:rPr>
        <w:t xml:space="preserve">Best for</w:t>
      </w:r>
      <w:r>
        <w:t xml:space="preserve">: Classrooms with limited devices (1-3 devices for a class of 20-30)</w:t>
      </w:r>
    </w:p>
    <w:bookmarkStart w:id="26" w:name="how-it-works-1"/>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26"/>
    <w:bookmarkStart w:id="27"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27"/>
    <w:bookmarkStart w:id="28"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28"/>
    <w:bookmarkEnd w:id="29"/>
    <w:bookmarkStart w:id="33" w:name="strategy-3-homework-preparation"/>
    <w:p>
      <w:pPr>
        <w:pStyle w:val="Heading2"/>
      </w:pPr>
      <w:r>
        <w:t xml:space="preserve">Strategy 3: Homework Preparation</w:t>
      </w:r>
    </w:p>
    <w:p>
      <w:pPr>
        <w:pStyle w:val="FirstParagraph"/>
      </w:pPr>
      <w:r>
        <w:rPr>
          <w:b/>
          <w:bCs/>
        </w:rPr>
        <w:t xml:space="preserve">Best for</w:t>
      </w:r>
      <w:r>
        <w:t xml:space="preserve">: Students who have home AI access but no access at school</w:t>
      </w:r>
    </w:p>
    <w:bookmarkStart w:id="30" w:name="how-it-works-2"/>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0"/>
    <w:bookmarkStart w:id="31"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1"/>
    <w:bookmarkStart w:id="32"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2"/>
    <w:bookmarkEnd w:id="33"/>
    <w:bookmarkStart w:id="37" w:name="strategy-4-think-aloud-demonstration"/>
    <w:p>
      <w:pPr>
        <w:pStyle w:val="Heading2"/>
      </w:pPr>
      <w:r>
        <w:t xml:space="preserve">Strategy 4: Think-Aloud Demonstration</w:t>
      </w:r>
    </w:p>
    <w:p>
      <w:pPr>
        <w:pStyle w:val="FirstParagraph"/>
      </w:pPr>
      <w:r>
        <w:rPr>
          <w:b/>
          <w:bCs/>
        </w:rPr>
        <w:t xml:space="preserve">Best for</w:t>
      </w:r>
      <w:r>
        <w:t xml:space="preserve">: Situations where one AI interaction serves the whole class</w:t>
      </w:r>
    </w:p>
    <w:bookmarkStart w:id="34" w:name="how-it-works-3"/>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4"/>
    <w:bookmarkStart w:id="35"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35"/>
    <w:bookmarkStart w:id="36"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36"/>
    <w:bookmarkEnd w:id="37"/>
    <w:bookmarkStart w:id="41"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2358813"/>
            <wp:effectExtent b="0" l="0" r="0" t="0"/>
            <wp:docPr descr="" title="" id="39" name="Picture"/>
            <a:graphic>
              <a:graphicData uri="http://schemas.openxmlformats.org/drawingml/2006/picture">
                <pic:pic>
                  <pic:nvPicPr>
                    <pic:cNvPr descr="low-resource-implementation_files\figure-docx\mermaid-figure-2.png" id="40" name="Picture"/>
                    <pic:cNvPicPr>
                      <a:picLocks noChangeArrowheads="1" noChangeAspect="1"/>
                    </pic:cNvPicPr>
                  </pic:nvPicPr>
                  <pic:blipFill>
                    <a:blip r:embed="rId38"/>
                    <a:stretch>
                      <a:fillRect/>
                    </a:stretch>
                  </pic:blipFill>
                  <pic:spPr bwMode="auto">
                    <a:xfrm>
                      <a:off x="0" y="0"/>
                      <a:ext cx="5334000" cy="235881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at all</w:t>
            </w:r>
          </w:p>
        </w:tc>
        <w:tc>
          <w:tcPr/>
          <w:p>
            <w:pPr>
              <w:pStyle w:val="Compact"/>
            </w:pPr>
            <w:r>
              <w:t xml:space="preserve">Pre-Generated Response Cards + Think-Aloud Demo</w:t>
            </w:r>
          </w:p>
        </w:tc>
      </w:tr>
    </w:tbl>
    <w:bookmarkEnd w:id="41"/>
    <w:bookmarkStart w:id="49" w:name="key-pedagogical-points"/>
    <w:p>
      <w:pPr>
        <w:pStyle w:val="Heading2"/>
      </w:pPr>
      <w:r>
        <w:t xml:space="preserve">Key Pedagogical Points</w:t>
      </w:r>
    </w:p>
    <w:bookmarkStart w:id="42"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2"/>
    <w:bookmarkStart w:id="43"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3"/>
    <w:bookmarkStart w:id="48"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ryan\AppData\Local\Programs\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7">
              <w:r>
                <w:rPr>
                  <w:rStyle w:val="Hyperlink"/>
                </w:rPr>
                <w:t xml:space="preserve">Explore the research →</w:t>
              </w:r>
            </w:hyperlink>
          </w:p>
          <w:p/>
        </w:tc>
      </w:tr>
    </w:tbl>
    <w:bookmarkEnd w:id="48"/>
    <w:bookmarkEnd w:id="49"/>
    <w:bookmarkStart w:id="50"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0"/>
    <w:bookmarkStart w:id="57" w:name="adapting-specific-activities"/>
    <w:p>
      <w:pPr>
        <w:pStyle w:val="Heading2"/>
      </w:pPr>
      <w:r>
        <w:t xml:space="preserve">Adapting Specific Activities</w:t>
      </w:r>
    </w:p>
    <w:bookmarkStart w:id="52"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grade-differentiated AI Response Cards with pre-generated AI analysis, and Student Worksheets providing structured investigation recording.</w:t>
      </w:r>
      <w:r>
        <w:t xml:space="preserve"> </w:t>
      </w:r>
      <w:r>
        <w:rPr>
          <w:b/>
          <w:bCs/>
        </w:rPr>
        <w:t xml:space="preserve">Four grade-band-specific AI Response Card sets are available: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Robot Helper Cards</w:t>
            </w:r>
          </w:p>
        </w:tc>
        <w:tc>
          <w:tcPr/>
          <w:p>
            <w:pPr>
              <w:pStyle w:val="Compact"/>
            </w:pPr>
            <w:r>
              <w:t xml:space="preserve">Friendly, simple (</w:t>
            </w:r>
            <w:r>
              <w:t xml:space="preserve">“Beep boop!”</w:t>
            </w:r>
            <w:r>
              <w:t xml:space="preserve">)</w:t>
            </w:r>
          </w:p>
        </w:tc>
      </w:tr>
      <w:tr>
        <w:tc>
          <w:tcPr/>
          <w:p>
            <w:pPr>
              <w:pStyle w:val="Compact"/>
            </w:pPr>
            <w:r>
              <w:t xml:space="preserve">3-5</w:t>
            </w:r>
          </w:p>
        </w:tc>
        <w:tc>
          <w:tcPr/>
          <w:p>
            <w:pPr>
              <w:pStyle w:val="Compact"/>
            </w:pPr>
            <w:r>
              <w:t xml:space="preserve">Computer Helper Cards</w:t>
            </w:r>
          </w:p>
        </w:tc>
        <w:tc>
          <w:tcPr/>
          <w:p>
            <w:pPr>
              <w:pStyle w:val="Compact"/>
            </w:pPr>
            <w:r>
              <w:t xml:space="preserve">Approachable, slightly technical</w:t>
            </w:r>
          </w:p>
        </w:tc>
      </w:tr>
      <w:tr>
        <w:tc>
          <w:tcPr/>
          <w:p>
            <w:pPr>
              <w:pStyle w:val="Compact"/>
            </w:pPr>
            <w:r>
              <w:t xml:space="preserve">6-8</w:t>
            </w:r>
          </w:p>
        </w:tc>
        <w:tc>
          <w:tcPr/>
          <w:p>
            <w:pPr>
              <w:pStyle w:val="Compact"/>
            </w:pPr>
            <w:r>
              <w:t xml:space="preserve">AI Partner Cards</w:t>
            </w:r>
          </w:p>
        </w:tc>
        <w:tc>
          <w:tcPr/>
          <w:p>
            <w:pPr>
              <w:pStyle w:val="Compact"/>
            </w:pPr>
            <w:r>
              <w:t xml:space="preserve">Collaborative peer voice</w:t>
            </w:r>
          </w:p>
        </w:tc>
      </w:tr>
      <w:tr>
        <w:tc>
          <w:tcPr/>
          <w:p>
            <w:pPr>
              <w:pStyle w:val="Compact"/>
            </w:pPr>
            <w:r>
              <w:t xml:space="preserve">9-12</w:t>
            </w:r>
          </w:p>
        </w:tc>
        <w:tc>
          <w:tcPr/>
          <w:p>
            <w:pPr>
              <w:pStyle w:val="Compact"/>
            </w:pPr>
            <w:r>
              <w:t xml:space="preserve">AI Security Analyst Cards</w:t>
            </w:r>
          </w:p>
        </w:tc>
        <w:tc>
          <w:tcPr/>
          <w:p>
            <w:pPr>
              <w:pStyle w:val="Compact"/>
            </w:pPr>
            <w:r>
              <w:t xml:space="preserve">Professional SOC analyst language</w:t>
            </w:r>
          </w:p>
        </w:tc>
      </w:tr>
    </w:tbl>
    <w:p>
      <w:pPr>
        <w:pStyle w:val="BodyText"/>
      </w:pPr>
      <w:r>
        <w:t xml:space="preserve">Each card set follows the same pedagogical pattern: AI demonstrates capability, AI acknowledges limitation, human judgment required. These materials are available in the</w:t>
      </w:r>
      <w:r>
        <w:t xml:space="preserve"> </w:t>
      </w:r>
      <w:hyperlink r:id="rId51">
        <w:r>
          <w:rPr>
            <w:rStyle w:val="Hyperlink"/>
          </w:rPr>
          <w:t xml:space="preserve">printables directory</w:t>
        </w:r>
      </w:hyperlink>
      <w:r>
        <w:t xml:space="preserve">.</w:t>
      </w:r>
    </w:p>
    <w:bookmarkEnd w:id="52"/>
    <w:bookmarkStart w:id="54"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w:t>
      </w:r>
      <w:r>
        <w:t xml:space="preserve"> </w:t>
      </w:r>
      <w:r>
        <w:rPr>
          <w:b/>
          <w:bCs/>
        </w:rPr>
        <w:t xml:space="preserve">Four grade-band-specific AI Response Card sets are available:</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Sparky Robot Helper Cards</w:t>
            </w:r>
          </w:p>
        </w:tc>
        <w:tc>
          <w:tcPr/>
          <w:p>
            <w:pPr>
              <w:pStyle w:val="Compact"/>
            </w:pPr>
            <w:r>
              <w:t xml:space="preserve">Friendly, encouraging (</w:t>
            </w:r>
            <w:r>
              <w:t xml:space="preserve">“Beep boop!”</w:t>
            </w:r>
            <w:r>
              <w:t xml:space="preserve">)</w:t>
            </w:r>
          </w:p>
        </w:tc>
      </w:tr>
      <w:tr>
        <w:tc>
          <w:tcPr/>
          <w:p>
            <w:pPr>
              <w:pStyle w:val="Compact"/>
            </w:pPr>
            <w:r>
              <w:t xml:space="preserve">3-5</w:t>
            </w:r>
          </w:p>
        </w:tc>
        <w:tc>
          <w:tcPr/>
          <w:p>
            <w:pPr>
              <w:pStyle w:val="Compact"/>
            </w:pPr>
            <w:r>
              <w:t xml:space="preserve">AI Helper Cards</w:t>
            </w:r>
          </w:p>
        </w:tc>
        <w:tc>
          <w:tcPr/>
          <w:p>
            <w:pPr>
              <w:pStyle w:val="Compact"/>
            </w:pPr>
            <w:r>
              <w:t xml:space="preserve">Approachable, pattern-focused</w:t>
            </w:r>
          </w:p>
        </w:tc>
      </w:tr>
      <w:tr>
        <w:tc>
          <w:tcPr/>
          <w:p>
            <w:pPr>
              <w:pStyle w:val="Compact"/>
            </w:pPr>
            <w:r>
              <w:t xml:space="preserve">6-8</w:t>
            </w:r>
          </w:p>
        </w:tc>
        <w:tc>
          <w:tcPr/>
          <w:p>
            <w:pPr>
              <w:pStyle w:val="Compact"/>
            </w:pPr>
            <w:r>
              <w:t xml:space="preserve">AI Security Advisor Cards</w:t>
            </w:r>
          </w:p>
        </w:tc>
        <w:tc>
          <w:tcPr/>
          <w:p>
            <w:pPr>
              <w:pStyle w:val="Compact"/>
            </w:pPr>
            <w:r>
              <w:t xml:space="preserve">Collaborative analyst voice</w:t>
            </w:r>
          </w:p>
        </w:tc>
      </w:tr>
      <w:tr>
        <w:tc>
          <w:tcPr/>
          <w:p>
            <w:pPr>
              <w:pStyle w:val="Compact"/>
            </w:pPr>
            <w:r>
              <w:t xml:space="preserve">9-12</w:t>
            </w:r>
          </w:p>
        </w:tc>
        <w:tc>
          <w:tcPr/>
          <w:p>
            <w:pPr>
              <w:pStyle w:val="Compact"/>
            </w:pPr>
            <w:r>
              <w:t xml:space="preserve">SentinelAI SOAR Platform Cards</w:t>
            </w:r>
          </w:p>
        </w:tc>
        <w:tc>
          <w:tcPr/>
          <w:p>
            <w:pPr>
              <w:pStyle w:val="Compact"/>
            </w:pPr>
            <w:r>
              <w:t xml:space="preserve">Enterprise SOC with MITRE ATT&amp;CK mapping</w:t>
            </w:r>
          </w:p>
        </w:tc>
      </w:tr>
    </w:tbl>
    <w:p>
      <w:pPr>
        <w:pStyle w:val="BodyText"/>
      </w:pPr>
      <w:r>
        <w:t xml:space="preserve">Each card set aligns with the grade-specific incident scenarios (Fix It Team, Computer Problem Solvers, School Incidents, Enterprise SOC). These materials are available in the</w:t>
      </w:r>
      <w:r>
        <w:t xml:space="preserve"> </w:t>
      </w:r>
      <w:hyperlink r:id="rId53">
        <w:r>
          <w:rPr>
            <w:rStyle w:val="Hyperlink"/>
          </w:rPr>
          <w:t xml:space="preserve">printables directory</w:t>
        </w:r>
      </w:hyperlink>
      <w:r>
        <w:t xml:space="preserve">.</w:t>
      </w:r>
    </w:p>
    <w:bookmarkEnd w:id="54"/>
    <w:bookmarkStart w:id="56"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w:t>
      </w:r>
      <w:r>
        <w:t xml:space="preserve"> </w:t>
      </w:r>
      <w:r>
        <w:rPr>
          <w:b/>
          <w:bCs/>
        </w:rPr>
        <w:t xml:space="preserve">Four grade-band-specific AI Perspective Card sets are available:</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Sparky Robot Helper Cards</w:t>
            </w:r>
          </w:p>
        </w:tc>
        <w:tc>
          <w:tcPr/>
          <w:p>
            <w:pPr>
              <w:pStyle w:val="Compact"/>
            </w:pPr>
            <w:r>
              <w:t xml:space="preserve">Simple, curious (</w:t>
            </w:r>
            <w:r>
              <w:t xml:space="preserve">“I wonder why…”</w:t>
            </w:r>
            <w:r>
              <w:t xml:space="preserve">)</w:t>
            </w:r>
          </w:p>
        </w:tc>
      </w:tr>
      <w:tr>
        <w:tc>
          <w:tcPr/>
          <w:p>
            <w:pPr>
              <w:pStyle w:val="Compact"/>
            </w:pPr>
            <w:r>
              <w:t xml:space="preserve">3-5</w:t>
            </w:r>
          </w:p>
        </w:tc>
        <w:tc>
          <w:tcPr/>
          <w:p>
            <w:pPr>
              <w:pStyle w:val="Compact"/>
            </w:pPr>
            <w:r>
              <w:t xml:space="preserve">SchoolGuard Cards</w:t>
            </w:r>
          </w:p>
        </w:tc>
        <w:tc>
          <w:tcPr/>
          <w:p>
            <w:pPr>
              <w:pStyle w:val="Compact"/>
            </w:pPr>
            <w:r>
              <w:t xml:space="preserve">Helpful, questioning about rules</w:t>
            </w:r>
          </w:p>
        </w:tc>
      </w:tr>
      <w:tr>
        <w:tc>
          <w:tcPr/>
          <w:p>
            <w:pPr>
              <w:pStyle w:val="Compact"/>
            </w:pPr>
            <w:r>
              <w:t xml:space="preserve">6-8</w:t>
            </w:r>
          </w:p>
        </w:tc>
        <w:tc>
          <w:tcPr/>
          <w:p>
            <w:pPr>
              <w:pStyle w:val="Compact"/>
            </w:pPr>
            <w:r>
              <w:t xml:space="preserve">SchoolGuard Cards</w:t>
            </w:r>
          </w:p>
        </w:tc>
        <w:tc>
          <w:tcPr/>
          <w:p>
            <w:pPr>
              <w:pStyle w:val="Compact"/>
            </w:pPr>
            <w:r>
              <w:t xml:space="preserve">Detailed governance perspectives</w:t>
            </w:r>
          </w:p>
        </w:tc>
      </w:tr>
      <w:tr>
        <w:tc>
          <w:tcPr/>
          <w:p>
            <w:pPr>
              <w:pStyle w:val="Compact"/>
            </w:pPr>
            <w:r>
              <w:t xml:space="preserve">9-12</w:t>
            </w:r>
          </w:p>
        </w:tc>
        <w:tc>
          <w:tcPr/>
          <w:p>
            <w:pPr>
              <w:pStyle w:val="Compact"/>
            </w:pPr>
            <w:r>
              <w:t xml:space="preserve">SecureNet AI Cards</w:t>
            </w:r>
          </w:p>
        </w:tc>
        <w:tc>
          <w:tcPr/>
          <w:p>
            <w:pPr>
              <w:pStyle w:val="Compact"/>
            </w:pPr>
            <w:r>
              <w:t xml:space="preserve">Enterprise policy with FERPA/COPPA context</w:t>
            </w:r>
          </w:p>
        </w:tc>
      </w:tr>
    </w:tbl>
    <w:p>
      <w:pPr>
        <w:pStyle w:val="BodyText"/>
      </w:pPr>
      <w:r>
        <w:t xml:space="preserve">Each card set presents the AI’s perspective on policy decisions appropriate to the grade-band scenario (Robot Helper Rules, Computer Rules Committee, SchoolGuard Governance, Enterprise Security Policy). These materials are available in the</w:t>
      </w:r>
      <w:r>
        <w:t xml:space="preserve"> </w:t>
      </w:r>
      <w:hyperlink r:id="rId55">
        <w:r>
          <w:rPr>
            <w:rStyle w:val="Hyperlink"/>
          </w:rPr>
          <w:t xml:space="preserve">printables directory</w:t>
        </w:r>
      </w:hyperlink>
      <w:r>
        <w:t xml:space="preserve">.</w:t>
      </w:r>
    </w:p>
    <w:bookmarkEnd w:id="56"/>
    <w:bookmarkEnd w:id="57"/>
    <w:bookmarkStart w:id="61"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Pre-Generated Cards + Think-Aloud Demo</w:t>
            </w:r>
          </w:p>
        </w:tc>
        <w:tc>
          <w:tcPr/>
          <w:p>
            <w:pPr>
              <w:pStyle w:val="Compact"/>
            </w:pPr>
            <w:r>
              <w:t xml:space="preserve">Concrete materials support emerging readers while teacher demonstration models partnership thinking</w:t>
            </w:r>
          </w:p>
        </w:tc>
      </w:tr>
      <w:tr>
        <w:tc>
          <w:tcPr/>
          <w:p>
            <w:pPr>
              <w:pStyle w:val="Compact"/>
            </w:pPr>
            <w:r>
              <w:t xml:space="preserve">3-5</w:t>
            </w:r>
          </w:p>
        </w:tc>
        <w:tc>
          <w:tcPr/>
          <w:p>
            <w:pPr>
              <w:pStyle w:val="Compact"/>
            </w:pPr>
            <w:r>
              <w:t xml:space="preserve">Pre-Generated Cards + Think-Aloud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ryan\AppData\Local\Programs\Quarto\share\formats\docx\tip.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Think-Aloud Demonstration.</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1"/>
    <w:bookmarkStart w:id="62"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51" Target="../printables/index.qmd#activity-1-security-detective-teams" TargetMode="External" /><Relationship Type="http://schemas.openxmlformats.org/officeDocument/2006/relationships/hyperlink" Id="rId55" Target="../printables/index.qmd#activity-2-ethics-in-automated-security" TargetMode="External" /><Relationship Type="http://schemas.openxmlformats.org/officeDocument/2006/relationships/hyperlink" Id="rId53" Target="../printables/index.qmd#activity-3-ai-assisted-incident-response" TargetMode="External" /><Relationship Type="http://schemas.openxmlformats.org/officeDocument/2006/relationships/hyperlink" Id="rId47"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51" Target="../printables/index.qmd#activity-1-security-detective-teams" TargetMode="External" /><Relationship Type="http://schemas.openxmlformats.org/officeDocument/2006/relationships/hyperlink" Id="rId55" Target="../printables/index.qmd#activity-2-ethics-in-automated-security" TargetMode="External" /><Relationship Type="http://schemas.openxmlformats.org/officeDocument/2006/relationships/hyperlink" Id="rId53" Target="../printables/index.qmd#activity-3-ai-assisted-incident-response" TargetMode="External" /><Relationship Type="http://schemas.openxmlformats.org/officeDocument/2006/relationships/hyperlink" Id="rId47"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2025-12-09T15:32:57Z</dcterms:created>
  <dcterms:modified xsi:type="dcterms:W3CDTF">2025-12-09T15:32:57Z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