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0" w:name="why-partnership"/>
    <w:p>
      <w:pPr>
        <w:pStyle w:val="Heading2"/>
      </w:pPr>
      <w:r>
        <w:t xml:space="preserve">Why</w:t>
      </w:r>
      <w:r>
        <w:t xml:space="preserve"> </w:t>
      </w:r>
      <w:r>
        <w:t xml:space="preserve">“Partnership”</w:t>
      </w:r>
      <w:r>
        <w:t xml:space="preserve"> </w:t>
      </w:r>
      <w:r>
        <w:t xml:space="preserve">Language?</w:t>
      </w:r>
    </w:p>
    <w:p>
      <w:pPr>
        <w:pStyle w:val="FirstParagraph"/>
      </w:pPr>
      <w:r>
        <w:t xml:space="preserve">Industry professionals typically say they</w:t>
      </w:r>
      <w:r>
        <w:t xml:space="preserve"> </w:t>
      </w:r>
      <w:r>
        <w:t xml:space="preserve">“use AI tools.”</w:t>
      </w:r>
      <w:r>
        <w:t xml:space="preserve"> </w:t>
      </w:r>
      <w:r>
        <w:t xml:space="preserve">We deliberately chose different language—and understanding why matters for teaching.</w:t>
      </w:r>
    </w:p>
    <w:bookmarkStart w:id="23" w:name="the-problem-with-tool-use-framing"/>
    <w:p>
      <w:pPr>
        <w:pStyle w:val="Heading3"/>
      </w:pPr>
      <w:r>
        <w:t xml:space="preserve">The Problem with</w:t>
      </w:r>
      <w:r>
        <w:t xml:space="preserve"> </w:t>
      </w:r>
      <w:r>
        <w:t xml:space="preserve">“Tool Use”</w:t>
      </w:r>
      <w:r>
        <w:t xml:space="preserve"> </w:t>
      </w:r>
      <w:r>
        <w:t xml:space="preserve">Framing</w:t>
      </w:r>
    </w:p>
    <w:p>
      <w:pPr>
        <w:pStyle w:val="FirstParagraph"/>
      </w:pPr>
      <w:r>
        <w:t xml:space="preserve">When we say</w:t>
      </w:r>
      <w:r>
        <w:t xml:space="preserve"> </w:t>
      </w:r>
      <w:r>
        <w:t xml:space="preserve">“I use a tool,”</w:t>
      </w:r>
      <w:r>
        <w:t xml:space="preserve"> </w:t>
      </w:r>
      <w:r>
        <w:t xml:space="preserve">we imply:</w:t>
      </w:r>
    </w:p>
    <w:p>
      <w:pPr>
        <w:pStyle w:val="Compact"/>
        <w:numPr>
          <w:ilvl w:val="0"/>
          <w:numId w:val="1002"/>
        </w:numPr>
      </w:pPr>
      <w:r>
        <w:t xml:space="preserve">The human is fully in control</w:t>
      </w:r>
    </w:p>
    <w:p>
      <w:pPr>
        <w:pStyle w:val="Compact"/>
        <w:numPr>
          <w:ilvl w:val="0"/>
          <w:numId w:val="1002"/>
        </w:numPr>
      </w:pPr>
      <w:r>
        <w:t xml:space="preserve">The tool is passive until activated</w:t>
      </w:r>
    </w:p>
    <w:p>
      <w:pPr>
        <w:pStyle w:val="Compact"/>
        <w:numPr>
          <w:ilvl w:val="0"/>
          <w:numId w:val="1002"/>
        </w:numPr>
      </w:pPr>
      <w:r>
        <w:t xml:space="preserve">Agency flows one direction: human → tool</w:t>
      </w:r>
    </w:p>
    <w:p>
      <w:pPr>
        <w:pStyle w:val="Compact"/>
        <w:numPr>
          <w:ilvl w:val="0"/>
          <w:numId w:val="1002"/>
        </w:numPr>
      </w:pPr>
      <w:r>
        <w:t xml:space="preserve">The human remains unchanged by the interaction</w:t>
      </w:r>
    </w:p>
    <w:p>
      <w:pPr>
        <w:pStyle w:val="FirstParagraph"/>
      </w:pPr>
      <w:r>
        <w:t xml:space="preserve">But this isn’t what actually happens in cybersecurity operations.</w:t>
      </w:r>
    </w:p>
    <w:bookmarkEnd w:id="23"/>
    <w:bookmarkStart w:id="24" w:name="whats-really-happening-in-a-soc"/>
    <w:p>
      <w:pPr>
        <w:pStyle w:val="Heading3"/>
      </w:pPr>
      <w:r>
        <w:t xml:space="preserve">What’s Really Happening in a SOC</w:t>
      </w:r>
    </w:p>
    <w:p>
      <w:pPr>
        <w:pStyle w:val="FirstParagraph"/>
      </w:pPr>
      <w:r>
        <w:t xml:space="preserve">Consider a Security Operations Center analyst working with a SIEM (Security Information and Event Management) system:</w:t>
      </w:r>
    </w:p>
    <w:p>
      <w:pPr>
        <w:numPr>
          <w:ilvl w:val="0"/>
          <w:numId w:val="1003"/>
        </w:numPr>
      </w:pPr>
      <w:r>
        <w:rPr>
          <w:b/>
          <w:bCs/>
        </w:rPr>
        <w:t xml:space="preserve">The SIEM shapes perception</w:t>
      </w:r>
      <w:r>
        <w:t xml:space="preserve"> </w:t>
      </w:r>
      <w:r>
        <w:t xml:space="preserve">— Before the analyst sees anything, the system has already decided what counts as</w:t>
      </w:r>
      <w:r>
        <w:t xml:space="preserve"> </w:t>
      </w:r>
      <w:r>
        <w:t xml:space="preserve">“suspicious.”</w:t>
      </w:r>
      <w:r>
        <w:t xml:space="preserve"> </w:t>
      </w:r>
      <w:r>
        <w:t xml:space="preserve">Thousands of events are filtered, correlated, and prioritized. The analyst’s awareness is bounded by what the tool surfaces.</w:t>
      </w:r>
    </w:p>
    <w:p>
      <w:pPr>
        <w:numPr>
          <w:ilvl w:val="0"/>
          <w:numId w:val="1003"/>
        </w:numPr>
      </w:pPr>
      <w:r>
        <w:rPr>
          <w:b/>
          <w:bCs/>
        </w:rPr>
        <w:t xml:space="preserve">The analyst adapts to the tool</w:t>
      </w:r>
      <w:r>
        <w:t xml:space="preserve"> </w:t>
      </w:r>
      <w:r>
        <w:t xml:space="preserve">— Experienced analysts learn to</w:t>
      </w:r>
      <w:r>
        <w:t xml:space="preserve"> </w:t>
      </w:r>
      <w:r>
        <w:t xml:space="preserve">“think like the SIEM”</w:t>
      </w:r>
      <w:r>
        <w:t xml:space="preserve">—understanding its detection logic, anticipating its blind spots, structuring their investigations around its capabilities.</w:t>
      </w:r>
    </w:p>
    <w:p>
      <w:pPr>
        <w:numPr>
          <w:ilvl w:val="0"/>
          <w:numId w:val="1003"/>
        </w:numPr>
      </w:pPr>
      <w:r>
        <w:rPr>
          <w:b/>
          <w:bCs/>
        </w:rPr>
        <w:t xml:space="preserve">Agency is distributed</w:t>
      </w:r>
      <w:r>
        <w:t xml:space="preserve"> </w:t>
      </w:r>
      <w:r>
        <w:t xml:space="preserve">— When a threat is detected, who found it? The analyst who investigated? The SIEM that flagged it? The rule-writer who configured the detection? The answer is: the assemblage of all of them together.</w:t>
      </w:r>
    </w:p>
    <w:p>
      <w:pPr>
        <w:numPr>
          <w:ilvl w:val="0"/>
          <w:numId w:val="1003"/>
        </w:numPr>
      </w:pPr>
      <w:r>
        <w:rPr>
          <w:b/>
          <w:bCs/>
        </w:rPr>
        <w:t xml:space="preserve">Neither succeeds alone</w:t>
      </w:r>
      <w:r>
        <w:t xml:space="preserve"> </w:t>
      </w:r>
      <w:r>
        <w:t xml:space="preserve">— The SIEM can’t understand context, institutional knowledge, or human factors. The analyst can’t process millions of log entries. Together, they accomplish what neither could individually.</w:t>
      </w:r>
    </w:p>
    <w:bookmarkEnd w:id="24"/>
    <w:bookmarkStart w:id="25" w:name="why-this-matters-for-education"/>
    <w:p>
      <w:pPr>
        <w:pStyle w:val="Heading3"/>
      </w:pPr>
      <w:r>
        <w:t xml:space="preserve">Why This Matters for Education</w:t>
      </w:r>
    </w:p>
    <w:p>
      <w:pPr>
        <w:pStyle w:val="FirstParagraph"/>
      </w:pPr>
      <w:r>
        <w:t xml:space="preserve">Teaching students that they</w:t>
      </w:r>
      <w:r>
        <w:t xml:space="preserve"> </w:t>
      </w:r>
      <w:r>
        <w:t xml:space="preserve">“use AI tools”</w:t>
      </w:r>
      <w:r>
        <w:t xml:space="preserve"> </w:t>
      </w:r>
      <w:r>
        <w:t xml:space="preserve">sets up a false mental model that will fail them in professional practice. They’ll either:</w:t>
      </w:r>
    </w:p>
    <w:p>
      <w:pPr>
        <w:pStyle w:val="Compact"/>
        <w:numPr>
          <w:ilvl w:val="0"/>
          <w:numId w:val="1004"/>
        </w:numPr>
      </w:pPr>
      <w:r>
        <w:rPr>
          <w:b/>
          <w:bCs/>
        </w:rPr>
        <w:t xml:space="preserve">Over-rely on AI</w:t>
      </w:r>
      <w:r>
        <w:t xml:space="preserve"> </w:t>
      </w:r>
      <w:r>
        <w:t xml:space="preserve">(assuming it</w:t>
      </w:r>
      <w:r>
        <w:t xml:space="preserve"> </w:t>
      </w:r>
      <w:r>
        <w:t xml:space="preserve">“handles”</w:t>
      </w:r>
      <w:r>
        <w:t xml:space="preserve"> </w:t>
      </w:r>
      <w:r>
        <w:t xml:space="preserve">security while they</w:t>
      </w:r>
      <w:r>
        <w:t xml:space="preserve"> </w:t>
      </w:r>
      <w:r>
        <w:t xml:space="preserve">“use”</w:t>
      </w:r>
      <w:r>
        <w:t xml:space="preserve"> </w:t>
      </w:r>
      <w:r>
        <w:t xml:space="preserve">it)</w:t>
      </w:r>
    </w:p>
    <w:p>
      <w:pPr>
        <w:pStyle w:val="Compact"/>
        <w:numPr>
          <w:ilvl w:val="0"/>
          <w:numId w:val="1004"/>
        </w:numPr>
      </w:pPr>
      <w:r>
        <w:rPr>
          <w:b/>
          <w:bCs/>
        </w:rPr>
        <w:t xml:space="preserve">Under-utilize AI</w:t>
      </w:r>
      <w:r>
        <w:t xml:space="preserve"> </w:t>
      </w:r>
      <w:r>
        <w:t xml:space="preserve">(treating it as a simple lookup tool rather than an investigative partner)</w:t>
      </w:r>
    </w:p>
    <w:p>
      <w:pPr>
        <w:pStyle w:val="Compact"/>
        <w:numPr>
          <w:ilvl w:val="0"/>
          <w:numId w:val="1004"/>
        </w:numPr>
      </w:pPr>
      <w:r>
        <w:rPr>
          <w:b/>
          <w:bCs/>
        </w:rPr>
        <w:t xml:space="preserve">Miss the mutual shaping</w:t>
      </w:r>
      <w:r>
        <w:t xml:space="preserve"> </w:t>
      </w:r>
      <w:r>
        <w:t xml:space="preserve">(not recognizing how AI recommendations influence their perception)</w:t>
      </w:r>
    </w:p>
    <w:p>
      <w:pPr>
        <w:pStyle w:val="FirstParagraph"/>
      </w:pPr>
      <w:r>
        <w:t xml:space="preserve">The</w:t>
      </w:r>
      <w:r>
        <w:t xml:space="preserve"> </w:t>
      </w:r>
      <w:r>
        <w:t xml:space="preserve">“partnership”</w:t>
      </w:r>
      <w:r>
        <w:t xml:space="preserve"> </w:t>
      </w:r>
      <w:r>
        <w:t xml:space="preserve">framing we use throughout these activities isn’t merely aspirational—it’s preparation for the actual cognitive work of modern cybersecurity operations.</w:t>
      </w:r>
    </w:p>
    <w:bookmarkEnd w:id="25"/>
    <w:bookmarkStart w:id="29" w:name="theoretical-foundation"/>
    <w:p>
      <w:pPr>
        <w:pStyle w:val="Heading3"/>
      </w:pPr>
      <w:r>
        <w:t xml:space="preserve">Theoretical Foundation</w:t>
      </w:r>
    </w:p>
    <w:p>
      <w:pPr>
        <w:pStyle w:val="FirstParagraph"/>
      </w:pPr>
      <w:r>
        <w:t xml:space="preserve">This approach draws from</w:t>
      </w:r>
      <w:r>
        <w:t xml:space="preserve"> </w:t>
      </w:r>
      <w:r>
        <w:rPr>
          <w:b/>
          <w:bCs/>
        </w:rPr>
        <w:t xml:space="preserve">posthuman educational theory</w:t>
      </w:r>
      <w:r>
        <w:t xml:space="preserve">, particularly:</w:t>
      </w:r>
    </w:p>
    <w:p>
      <w:pPr>
        <w:pStyle w:val="Compact"/>
        <w:numPr>
          <w:ilvl w:val="0"/>
          <w:numId w:val="1005"/>
        </w:numPr>
      </w:pPr>
      <w:r>
        <w:rPr>
          <w:b/>
          <w:bCs/>
        </w:rPr>
        <w:t xml:space="preserve">Rosi Braidotti’s</w:t>
      </w:r>
      <w:r>
        <w:t xml:space="preserve"> </w:t>
      </w:r>
      <w:r>
        <w:t xml:space="preserve">work on human-technology entanglement and distributed agency</w:t>
      </w:r>
    </w:p>
    <w:p>
      <w:pPr>
        <w:pStyle w:val="Compact"/>
        <w:numPr>
          <w:ilvl w:val="0"/>
          <w:numId w:val="1005"/>
        </w:numPr>
      </w:pPr>
      <w:r>
        <w:rPr>
          <w:b/>
          <w:bCs/>
        </w:rPr>
        <w:t xml:space="preserve">Catherine Adams and Terrie Lynn Thompson’s</w:t>
      </w:r>
      <w:r>
        <w:t xml:space="preserve"> </w:t>
      </w:r>
      <w:r>
        <w:t xml:space="preserve">practical heuristics for examining how digital technologies shape human perception and practice—what they call</w:t>
      </w:r>
      <w:r>
        <w:t xml:space="preserve"> </w:t>
      </w:r>
      <w:r>
        <w:t xml:space="preserve">“interviewing”</w:t>
      </w:r>
      <w:r>
        <w:t xml:space="preserve"> </w:t>
      </w:r>
      <w:r>
        <w:t xml:space="preserve">digital objects to understand their contributions to our work</w:t>
      </w:r>
    </w:p>
    <w:p>
      <w:pPr>
        <w:pStyle w:val="FirstParagraph"/>
      </w:pPr>
      <w:r>
        <w:t xml:space="preserve">These theoretical insights translate directly into developing cybersecurity expertise. When students learn to see AI as a partner with distinct capabilities, limitations, and influence on their own thinking, they’re developing the meta-cognitive awareness that distinguishes expert practitioners.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Further Reading</w:t>
            </w:r>
          </w:p>
        </w:tc>
      </w:tr>
      <w:tr>
        <w:trPr>
          <w:cantSplit/>
        </w:trPr>
        <w:tc>
          <w:tcPr>
            <w:tcMar>
              <w:top w:w="108" w:type="dxa"/>
              <w:bottom w:w="108" w:type="dxa"/>
            </w:tcMar>
          </w:tcPr>
          <w:p>
            <w:pPr>
              <w:pStyle w:val="BodyText"/>
            </w:pPr>
            <w:pPr>
              <w:spacing w:before="16" w:after="16"/>
            </w:pPr>
            <w:r>
              <w:t xml:space="preserve">The references in the</w:t>
            </w:r>
            <w:r>
              <w:t xml:space="preserve"> </w:t>
            </w:r>
            <w:hyperlink w:anchor="collaboration">
              <w:r>
                <w:rPr>
                  <w:rStyle w:val="Hyperlink"/>
                </w:rPr>
                <w:t xml:space="preserve">Human-AI Collaboration &amp; Posthuman Pedagogy</w:t>
              </w:r>
            </w:hyperlink>
            <w:r>
              <w:t xml:space="preserve"> </w:t>
            </w:r>
            <w:r>
              <w:t xml:space="preserve">section below provide deeper theoretical grounding for this approach.</w:t>
            </w:r>
          </w:p>
          <w:p/>
        </w:tc>
      </w:tr>
    </w:tbl>
    <w:bookmarkEnd w:id="29"/>
    <w:bookmarkEnd w:id="30"/>
    <w:bookmarkStart w:id="41"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32"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31">
        <w:r>
          <w:rPr>
            <w:rStyle w:val="Hyperlink"/>
          </w:rPr>
          <w:t xml:space="preserve">Publisher Link</w:t>
        </w:r>
      </w:hyperlink>
    </w:p>
    <w:bookmarkEnd w:id="32"/>
    <w:bookmarkStart w:id="34"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33">
        <w:r>
          <w:rPr>
            <w:rStyle w:val="Hyperlink"/>
          </w:rPr>
          <w:t xml:space="preserve">Publisher Link</w:t>
        </w:r>
      </w:hyperlink>
    </w:p>
    <w:bookmarkEnd w:id="34"/>
    <w:bookmarkStart w:id="36"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35">
        <w:r>
          <w:rPr>
            <w:rStyle w:val="Hyperlink"/>
          </w:rPr>
          <w:t xml:space="preserve">Publisher Link</w:t>
        </w:r>
      </w:hyperlink>
    </w:p>
    <w:bookmarkEnd w:id="36"/>
    <w:bookmarkStart w:id="38"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37">
        <w:r>
          <w:rPr>
            <w:rStyle w:val="Hyperlink"/>
          </w:rPr>
          <w:t xml:space="preserve">DOI: 10.1111/bjet.12861</w:t>
        </w:r>
      </w:hyperlink>
    </w:p>
    <w:bookmarkEnd w:id="38"/>
    <w:bookmarkStart w:id="40"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9">
        <w:r>
          <w:rPr>
            <w:rStyle w:val="Hyperlink"/>
          </w:rPr>
          <w:t xml:space="preserve">Publisher Link</w:t>
        </w:r>
      </w:hyperlink>
    </w:p>
    <w:bookmarkEnd w:id="40"/>
    <w:bookmarkEnd w:id="41"/>
    <w:bookmarkStart w:id="48"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43"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42">
        <w:r>
          <w:rPr>
            <w:rStyle w:val="Hyperlink"/>
          </w:rPr>
          <w:t xml:space="preserve">CYBER.org Standards</w:t>
        </w:r>
      </w:hyperlink>
    </w:p>
    <w:bookmarkEnd w:id="43"/>
    <w:bookmarkStart w:id="45"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44">
        <w:r>
          <w:rPr>
            <w:rStyle w:val="Hyperlink"/>
          </w:rPr>
          <w:t xml:space="preserve">DOI: 10.1093/cybsec/tyz001</w:t>
        </w:r>
      </w:hyperlink>
    </w:p>
    <w:bookmarkEnd w:id="45"/>
    <w:bookmarkStart w:id="47"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46">
        <w:r>
          <w:rPr>
            <w:rStyle w:val="Hyperlink"/>
          </w:rPr>
          <w:t xml:space="preserve">Publisher Link</w:t>
        </w:r>
      </w:hyperlink>
    </w:p>
    <w:bookmarkEnd w:id="47"/>
    <w:bookmarkEnd w:id="48"/>
    <w:bookmarkStart w:id="59"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50"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9">
        <w:r>
          <w:rPr>
            <w:rStyle w:val="Hyperlink"/>
          </w:rPr>
          <w:t xml:space="preserve">NIST SP 800-181</w:t>
        </w:r>
      </w:hyperlink>
    </w:p>
    <w:bookmarkEnd w:id="50"/>
    <w:bookmarkStart w:id="52"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into five categories (Oversight and Governance, Design and Development, Implementation and Operation, Protection and Defense, Investigation) and better reflects current workforce needs, including emerging human-AI collaboration requirements. Activities reference Work Roles including Defensive Cybersecurity, Incident Response, and Cybersecurity Policy and Planning from this updated framework.</w:t>
      </w:r>
    </w:p>
    <w:p>
      <w:pPr>
        <w:pStyle w:val="BodyText"/>
      </w:pPr>
      <w:hyperlink r:id="rId51">
        <w:r>
          <w:rPr>
            <w:rStyle w:val="Hyperlink"/>
          </w:rPr>
          <w:t xml:space="preserve">NICE Framework</w:t>
        </w:r>
      </w:hyperlink>
    </w:p>
    <w:bookmarkEnd w:id="52"/>
    <w:bookmarkStart w:id="54"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53">
        <w:r>
          <w:rPr>
            <w:rStyle w:val="Hyperlink"/>
          </w:rPr>
          <w:t xml:space="preserve">DOI: 10.1109/MSP.2011.181</w:t>
        </w:r>
      </w:hyperlink>
    </w:p>
    <w:bookmarkEnd w:id="54"/>
    <w:bookmarkStart w:id="56"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55">
        <w:r>
          <w:rPr>
            <w:rStyle w:val="Hyperlink"/>
          </w:rPr>
          <w:t xml:space="preserve">DOI: 10.1145/2568195.2568213</w:t>
        </w:r>
      </w:hyperlink>
    </w:p>
    <w:bookmarkEnd w:id="56"/>
    <w:bookmarkStart w:id="58"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57">
        <w:r>
          <w:rPr>
            <w:rStyle w:val="Hyperlink"/>
          </w:rPr>
          <w:t xml:space="preserve">(ISC)² Research</w:t>
        </w:r>
      </w:hyperlink>
    </w:p>
    <w:bookmarkEnd w:id="58"/>
    <w:bookmarkEnd w:id="59"/>
    <w:bookmarkStart w:id="67" w:name="how-to-use-these-resources"/>
    <w:p>
      <w:pPr>
        <w:pStyle w:val="Heading2"/>
      </w:pPr>
      <w:r>
        <w:t xml:space="preserve">How to Use These Resources</w:t>
      </w:r>
    </w:p>
    <w:bookmarkStart w:id="60"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60"/>
    <w:bookmarkStart w:id="61"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61"/>
    <w:bookmarkStart w:id="62"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62"/>
    <w:bookmarkStart w:id="66"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ryan\AppData\Local\Program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65">
              <w:r>
                <w:rPr>
                  <w:rStyle w:val="Hyperlink"/>
                </w:rPr>
                <w:t xml:space="preserve">ryanstraight@arizona.edu</w:t>
              </w:r>
            </w:hyperlink>
            <w:r>
              <w:t xml:space="preserve"> </w:t>
            </w:r>
            <w:r>
              <w:t xml:space="preserve">with your suggestion.</w:t>
            </w:r>
          </w:p>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2025-12-09T15:36:08Z</dcterms:created>
  <dcterms:modified xsi:type="dcterms:W3CDTF">2025-12-09T15:36:08Z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