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Defensive Cybersecurity and Vulnerability Analysis (Protection and Defense category)</w:t>
      </w:r>
    </w:p>
    <w:p>
      <w:pPr>
        <w:pStyle w:val="BodyText"/>
      </w:pPr>
      <w:r>
        <w:rPr>
          <w:b/>
          <w:bCs/>
        </w:rPr>
        <w:t xml:space="preserve">Skills students practice</w:t>
      </w:r>
      <w:r>
        <w:t xml:space="preserve">: Log analysis, indicator correlation, human-AI collaboration, and threat assessment</w:t>
      </w:r>
    </w:p>
    <w:bookmarkEnd w:id="38"/>
    <w:bookmarkStart w:id="44"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hyperlink r:id="rId43">
        <w:r>
          <w:rPr>
            <w:rStyle w:val="Hyperlink"/>
          </w:rPr>
          <w:t xml:space="preserve">AI Response Cards</w:t>
        </w:r>
      </w:hyperlink>
      <w:r>
        <w:t xml:space="preserve"> </w:t>
      </w:r>
      <w:r>
        <w:t xml:space="preserve">(for low-resource implementation)</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2025-12-09T01:48:40Z</dcterms:created>
  <dcterms:modified xsi:type="dcterms:W3CDTF">2025-12-09T01:48:40Z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