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K-2.DC.ETH</w:t>
      </w:r>
      <w:r>
        <w:t xml:space="preserve">: Basic technology ethics and responsibility</w:t>
      </w:r>
    </w:p>
    <w:p>
      <w:pPr>
        <w:pStyle w:val="Compact"/>
        <w:numPr>
          <w:ilvl w:val="0"/>
          <w:numId w:val="1002"/>
        </w:numPr>
      </w:pPr>
      <w:r>
        <w:rPr>
          <w:b/>
          <w:bCs/>
        </w:rPr>
        <w:t xml:space="preserve">K-2.SEC.ACC</w:t>
      </w:r>
      <w:r>
        <w:t xml:space="preserve">: Understanding access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2025-12-09T01:50:48Z</dcterms:created>
  <dcterms:modified xsi:type="dcterms:W3CDTF">2025-12-09T01:50:48Z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