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04"/>
        <w:gridCol w:w="2515"/>
        <w:gridCol w:w="27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Cybersecurity, Vulnerability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Policy and Planning, Privacy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Response, Defensive Cybersecurity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Defensive Cybersecurity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Analysis</w:t>
      </w:r>
      <w:r>
        <w:t xml:space="preserve"> </w:t>
      </w:r>
      <w:r>
        <w:t xml:space="preserve">work roles.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NIST Special Publication 800-181 Revision 1: Workforce Framework for Cybersecurity (NICE Framework)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NICE Framework Version 2.1.0 (December 2025)</w:t>
        </w:r>
      </w:hyperlink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2025-12-09T01:51:57Z</dcterms:created>
  <dcterms:modified xsi:type="dcterms:W3CDTF">2025-12-09T01:51:57Z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