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45" w:name="conference-session-what-to-expect"/>
    <w:p>
      <w:pPr>
        <w:pStyle w:val="Heading2"/>
      </w:pPr>
      <w:r>
        <w:t xml:space="preserve">Conference Session: What to Expect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ryan\AppData\Local\Program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Session Format (45 Minutes)</w:t>
            </w:r>
          </w:p>
        </w:tc>
      </w:tr>
      <w:tr>
        <w:trPr>
          <w:cantSplit/>
        </w:trPr>
        <w:tc>
          <w:tcPr>
            <w:tcMar>
              <w:top w:w="108" w:type="dxa"/>
              <w:bottom w:w="108" w:type="dxa"/>
            </w:tcMar>
          </w:tcPr>
          <w:p>
            <w:pPr>
              <w:pStyle w:val="BodyText"/>
            </w:pPr>
            <w:pPr>
              <w:spacing w:before="16"/>
            </w:pPr>
            <w:r>
              <w:t xml:space="preserve">Attendees will</w:t>
            </w:r>
            <w:r>
              <w:t xml:space="preserve"> </w:t>
            </w:r>
            <w:r>
              <w:rPr>
                <w:b/>
                <w:bCs/>
              </w:rPr>
              <w:t xml:space="preserve">experience one activity as learners</w:t>
            </w:r>
            <w:r>
              <w:t xml:space="preserve">, then receive access to the complete K-12 curriculum repository with dedicated implementation planning time.</w:t>
            </w:r>
          </w:p>
          <w:tbl>
            <w:tblPr>
              <w:tblStyle w:val="Table"/>
              <w:tblW w:type="pct" w:w="5000"/>
              <w:tblLayout w:type="fixed"/>
              <w:tblLook w:firstRow="1" w:lastRow="0" w:firstColumn="0" w:lastColumn="0" w:noHBand="0" w:noVBand="0" w:val="0020"/>
            </w:tblPr>
            <w:tblGrid>
              <w:gridCol w:w="2053"/>
              <w:gridCol w:w="1760"/>
              <w:gridCol w:w="4106"/>
            </w:tblGrid>
            <w:tr>
              <w:trPr>
                <w:tblHeader w:val="on"/>
              </w:trPr>
              <w:tc>
                <w:tcPr/>
                <w:p>
                  <w:pPr>
                    <w:pStyle w:val="Compact"/>
                  </w:pPr>
                  <w:r>
                    <w:t xml:space="preserve">Phase</w:t>
                  </w:r>
                </w:p>
              </w:tc>
              <w:tc>
                <w:tcPr/>
                <w:p>
                  <w:pPr>
                    <w:pStyle w:val="Compact"/>
                  </w:pPr>
                  <w:r>
                    <w:t xml:space="preserve">Time</w:t>
                  </w:r>
                </w:p>
              </w:tc>
              <w:tc>
                <w:tcPr/>
                <w:p>
                  <w:pPr>
                    <w:pStyle w:val="Compact"/>
                  </w:pPr>
                  <w:r>
                    <w:t xml:space="preserve">What Happens</w:t>
                  </w:r>
                </w:p>
              </w:tc>
            </w:tr>
            <w:tr>
              <w:tc>
                <w:tcPr/>
                <w:p>
                  <w:pPr>
                    <w:pStyle w:val="Compact"/>
                  </w:pPr>
                  <w:r>
                    <w:rPr>
                      <w:b/>
                      <w:bCs/>
                    </w:rPr>
                    <w:t xml:space="preserve">Experience</w:t>
                  </w:r>
                </w:p>
              </w:tc>
              <w:tc>
                <w:tcPr/>
                <w:p>
                  <w:pPr>
                    <w:pStyle w:val="Compact"/>
                  </w:pPr>
                  <w:r>
                    <w:t xml:space="preserve">20 min</w:t>
                  </w:r>
                </w:p>
              </w:tc>
              <w:tc>
                <w:tcPr/>
                <w:p>
                  <w:pPr>
                    <w:pStyle w:val="Compact"/>
                  </w:pPr>
                  <w:r>
                    <w:t xml:space="preserve">Participate in one complete activity (Middle School Phishing Response Team)</w:t>
                  </w:r>
                </w:p>
              </w:tc>
            </w:tr>
            <w:tr>
              <w:tc>
                <w:tcPr/>
                <w:p>
                  <w:pPr>
                    <w:pStyle w:val="Compact"/>
                  </w:pPr>
                  <w:r>
                    <w:rPr>
                      <w:b/>
                      <w:bCs/>
                    </w:rPr>
                    <w:t xml:space="preserve">Materials Tour</w:t>
                  </w:r>
                </w:p>
              </w:tc>
              <w:tc>
                <w:tcPr/>
                <w:p>
                  <w:pPr>
                    <w:pStyle w:val="Compact"/>
                  </w:pPr>
                  <w:r>
                    <w:t xml:space="preserve">10 min</w:t>
                  </w:r>
                </w:p>
              </w:tc>
              <w:tc>
                <w:tcPr/>
                <w:p>
                  <w:pPr>
                    <w:pStyle w:val="Compact"/>
                  </w:pPr>
                  <w:r>
                    <w:t xml:space="preserve">Overview of curriculum ecosystem and implementation guide walkthrough</w:t>
                  </w:r>
                </w:p>
              </w:tc>
            </w:tr>
            <w:tr>
              <w:tc>
                <w:tcPr/>
                <w:p>
                  <w:pPr>
                    <w:pStyle w:val="Compact"/>
                  </w:pPr>
                  <w:r>
                    <w:rPr>
                      <w:b/>
                      <w:bCs/>
                    </w:rPr>
                    <w:t xml:space="preserve">Planning</w:t>
                  </w:r>
                </w:p>
              </w:tc>
              <w:tc>
                <w:tcPr/>
                <w:p>
                  <w:pPr>
                    <w:pStyle w:val="Compact"/>
                  </w:pPr>
                  <w:r>
                    <w:t xml:space="preserve">10 min</w:t>
                  </w:r>
                </w:p>
              </w:tc>
              <w:tc>
                <w:tcPr/>
                <w:p>
                  <w:pPr>
                    <w:pStyle w:val="Compact"/>
                  </w:pPr>
                  <w:r>
                    <w:t xml:space="preserve">Select grade-appropriate activities and begin implementation planning</w:t>
                  </w:r>
                </w:p>
              </w:tc>
            </w:tr>
            <w:tr>
              <w:tc>
                <w:tcPr/>
                <w:p>
                  <w:pPr>
                    <w:pStyle w:val="Compact"/>
                  </w:pPr>
                  <w:r>
                    <w:rPr>
                      <w:b/>
                      <w:bCs/>
                    </w:rPr>
                    <w:t xml:space="preserve">Resources</w:t>
                  </w:r>
                </w:p>
              </w:tc>
              <w:tc>
                <w:tcPr/>
                <w:p>
                  <w:pPr>
                    <w:pStyle w:val="Compact"/>
                  </w:pPr>
                  <w:r>
                    <w:t xml:space="preserve">5 min</w:t>
                  </w:r>
                </w:p>
              </w:tc>
              <w:tc>
                <w:tcPr/>
                <w:p>
                  <w:pPr>
                    <w:pStyle w:val="Compact"/>
                  </w:pPr>
                  <w:r>
                    <w:t xml:space="preserve">Access repository, follow-up support information, Q&amp;A</w:t>
                  </w:r>
                </w:p>
              </w:tc>
            </w:tr>
          </w:tbl>
          <w:p>
            <w:pPr>
              <w:pStyle w:val="BodyText"/>
            </w:pPr>
            <w:pPr>
              <w:spacing w:after="16"/>
            </w:pPr>
            <w:r>
              <w:rPr>
                <w:b/>
                <w:bCs/>
              </w:rPr>
              <w:t xml:space="preserve">What you take home</w:t>
            </w:r>
            <w:r>
              <w:t xml:space="preserve">: Complete access to all 12 lesson plans, assessment rubrics, printable materials, and implementation guides—ready for immediate classroom use.</w:t>
            </w:r>
          </w:p>
          <w:p/>
        </w:tc>
      </w:tr>
    </w:tbl>
    <w:bookmarkEnd w:id="45"/>
    <w:bookmarkStart w:id="53"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6">
        <w:r>
          <w:rPr>
            <w:rStyle w:val="Hyperlink"/>
          </w:rPr>
          <w:t xml:space="preserve">ryanstraight@arizona.edu</w:t>
        </w:r>
      </w:hyperlink>
      <w:r>
        <w:t xml:space="preserve"> </w:t>
      </w:r>
      <w:r>
        <w:rPr>
          <w:b/>
          <w:bCs/>
        </w:rPr>
        <w:t xml:space="preserve">ORCID</w:t>
      </w:r>
      <w:r>
        <w:t xml:space="preserve">:</w:t>
      </w:r>
      <w:r>
        <w:t xml:space="preserve"> </w:t>
      </w:r>
      <w:hyperlink r:id="rId47">
        <w:r>
          <w:rPr>
            <w:rStyle w:val="Hyperlink"/>
          </w:rPr>
          <w:t xml:space="preserve">0000-0002-6251-5662</w:t>
        </w:r>
      </w:hyperlink>
    </w:p>
    <w:p>
      <w:pPr>
        <w:pStyle w:val="BodyText"/>
      </w:pPr>
      <w:hyperlink r:id="rId48">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ryan\AppData\Local\Programs\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2">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hyperlink" Id="rId48"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52" Target="guides/low-resource-implementation.qmd" TargetMode="External" /><Relationship Type="http://schemas.openxmlformats.org/officeDocument/2006/relationships/hyperlink" Id="rId47" Target="https://orcid.org/0000-0002-6251-5662" TargetMode="External" /><Relationship Type="http://schemas.openxmlformats.org/officeDocument/2006/relationships/hyperlink" Id="rId46"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8"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52" Target="guides/low-resource-implementation.qmd" TargetMode="External" /><Relationship Type="http://schemas.openxmlformats.org/officeDocument/2006/relationships/hyperlink" Id="rId47" Target="https://orcid.org/0000-0002-6251-5662" TargetMode="External" /><Relationship Type="http://schemas.openxmlformats.org/officeDocument/2006/relationships/hyperlink" Id="rId46"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2025-12-06T01:59:03Z</dcterms:created>
  <dcterms:modified xsi:type="dcterms:W3CDTF">2025-12-06T01:59:03Z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