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3-5.DC.PRI</w:t>
      </w:r>
      <w:r>
        <w:t xml:space="preserve">: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3-5.DC.CIT</w:t>
      </w:r>
      <w:r>
        <w:t xml:space="preserve">: Digital citizenship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38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End w:id="38"/>
    <w:bookmarkStart w:id="42" w:name="variations"/>
    <w:p>
      <w:pPr>
        <w:pStyle w:val="Heading2"/>
      </w:pPr>
      <w:r>
        <w:t xml:space="preserve">Variations</w:t>
      </w:r>
    </w:p>
    <w:bookmarkStart w:id="39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39"/>
    <w:bookmarkStart w:id="40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0"/>
    <w:bookmarkStart w:id="41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1"/>
    <w:bookmarkEnd w:id="42"/>
    <w:bookmarkStart w:id="46" w:name="teacher-notes"/>
    <w:p>
      <w:pPr>
        <w:pStyle w:val="Heading2"/>
      </w:pPr>
      <w:r>
        <w:t xml:space="preserve">Teacher Notes</w:t>
      </w:r>
    </w:p>
    <w:bookmarkStart w:id="43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3"/>
    <w:bookmarkStart w:id="44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4"/>
    <w:bookmarkStart w:id="45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2025-12-05T21:04:09Z</dcterms:created>
  <dcterms:modified xsi:type="dcterms:W3CDTF">2025-12-05T21:04:09Z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