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teacher-as-ai-voice"/>
    <w:p>
      <w:pPr>
        <w:pStyle w:val="Heading2"/>
      </w:pPr>
      <w:r>
        <w:t xml:space="preserve">Strategy 1: Teacher as AI Voice</w:t>
      </w:r>
    </w:p>
    <w:p>
      <w:pPr>
        <w:pStyle w:val="FirstParagraph"/>
      </w:pPr>
      <w:r>
        <w:rPr>
          <w:b/>
          <w:bCs/>
        </w:rPr>
        <w:t xml:space="preserve">Best for</w:t>
      </w:r>
      <w:r>
        <w:t xml:space="preserve">: Classrooms with no student AI access where the teacher has one device</w:t>
      </w:r>
    </w:p>
    <w:bookmarkStart w:id="21" w:name="how-it-works"/>
    <w:p>
      <w:pPr>
        <w:pStyle w:val="Heading3"/>
      </w:pPr>
      <w:r>
        <w:t xml:space="preserve">How It Works</w:t>
      </w:r>
    </w:p>
    <w:p>
      <w:pPr>
        <w:pStyle w:val="FirstParagraph"/>
      </w:pPr>
      <w:r>
        <w:t xml:space="preserve">The teacher operates AI on their device, projecting if possible. Groups discuss and formulate questions for the AI partner, then the teacher submits questions and reads responses aloud. Groups analyze and integrate responses into their ongoing investigation work.</w:t>
      </w:r>
    </w:p>
    <w:bookmarkEnd w:id="21"/>
    <w:bookmarkStart w:id="22" w:name="implementation-tips"/>
    <w:p>
      <w:pPr>
        <w:pStyle w:val="Heading3"/>
      </w:pPr>
      <w:r>
        <w:t xml:space="preserve">Implementation Tips</w:t>
      </w:r>
    </w:p>
    <w:p>
      <w:pPr>
        <w:pStyle w:val="FirstParagraph"/>
      </w:pPr>
      <w:r>
        <w:t xml:space="preserve">Have groups write questions on index cards or in a shared document. When reading AI responses, consider giving the AI a distinct</w:t>
      </w:r>
      <w:r>
        <w:t xml:space="preserve"> </w:t>
      </w:r>
      <w:r>
        <w:t xml:space="preserve">“character”</w:t>
      </w:r>
      <w:r>
        <w:t xml:space="preserve"> </w:t>
      </w:r>
      <w:r>
        <w:t xml:space="preserve">voice to make the interaction memorable. Ask AI follow-up questions based on student reactions and allow groups to request clarification when needed.</w:t>
      </w:r>
    </w:p>
    <w:bookmarkEnd w:id="22"/>
    <w:bookmarkStart w:id="23" w:name="advantages"/>
    <w:p>
      <w:pPr>
        <w:pStyle w:val="Heading3"/>
      </w:pPr>
      <w:r>
        <w:t xml:space="preserve">Advantages</w:t>
      </w:r>
    </w:p>
    <w:p>
      <w:pPr>
        <w:pStyle w:val="FirstParagraph"/>
      </w:pPr>
      <w:r>
        <w:t xml:space="preserve">This approach lets you filter inappropriate responses before students hear them, models proper AI interaction for students, generates whole-class discussion, and reduces technical complexity.</w:t>
      </w:r>
    </w:p>
    <w:bookmarkEnd w:id="23"/>
    <w:bookmarkStart w:id="24" w:name="sample-script"/>
    <w:p>
      <w:pPr>
        <w:pStyle w:val="Heading3"/>
      </w:pPr>
      <w:r>
        <w:t xml:space="preserve">Sample Script</w:t>
      </w:r>
    </w:p>
    <w:p>
      <w:pPr>
        <w:pStyle w:val="BlockText"/>
      </w:pPr>
      <w:r>
        <w:t xml:space="preserve">“Our AI partner has been listening to your investigation. Group 2, you wanted to ask about the login timestamps. Let me consult with our AI teammate…”</w:t>
      </w:r>
    </w:p>
    <w:p>
      <w:pPr>
        <w:pStyle w:val="BlockText"/>
      </w:pPr>
      <w:r>
        <w:t xml:space="preserve">[Types prompt, reads response]</w:t>
      </w:r>
    </w:p>
    <w:p>
      <w:pPr>
        <w:pStyle w:val="BlockText"/>
      </w:pPr>
      <w:r>
        <w:t xml:space="preserve">“Interesting. Our AI partner noticed a pattern we missed. What do you all think about this?”</w:t>
      </w:r>
    </w:p>
    <w:bookmarkEnd w:id="24"/>
    <w:bookmarkEnd w:id="25"/>
    <w:bookmarkStart w:id="30" w:name="strategy-2-pre-generated-response-cards"/>
    <w:p>
      <w:pPr>
        <w:pStyle w:val="Heading2"/>
      </w:pPr>
      <w:r>
        <w:t xml:space="preserve">Strategy 2: Pre-Generated Response Cards</w:t>
      </w:r>
    </w:p>
    <w:p>
      <w:pPr>
        <w:pStyle w:val="FirstParagraph"/>
      </w:pPr>
      <w:r>
        <w:rPr>
          <w:b/>
          <w:bCs/>
        </w:rPr>
        <w:t xml:space="preserve">Best for</w:t>
      </w:r>
      <w:r>
        <w:t xml:space="preserve">: Classrooms with no live AI access available</w:t>
      </w:r>
    </w:p>
    <w:bookmarkStart w:id="26" w:name="how-it-works-1"/>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6"/>
    <w:bookmarkStart w:id="27"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7"/>
    <w:bookmarkStart w:id="28"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8"/>
    <w:bookmarkStart w:id="29"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9"/>
    <w:bookmarkEnd w:id="30"/>
    <w:bookmarkStart w:id="34" w:name="strategy-3-rotation-station"/>
    <w:p>
      <w:pPr>
        <w:pStyle w:val="Heading2"/>
      </w:pPr>
      <w:r>
        <w:t xml:space="preserve">Strategy 3: Rotation Station</w:t>
      </w:r>
    </w:p>
    <w:p>
      <w:pPr>
        <w:pStyle w:val="FirstParagraph"/>
      </w:pPr>
      <w:r>
        <w:rPr>
          <w:b/>
          <w:bCs/>
        </w:rPr>
        <w:t xml:space="preserve">Best for</w:t>
      </w:r>
      <w:r>
        <w:t xml:space="preserve">: Classrooms with limited devices (1-3 devices for a class of 20-30)</w:t>
      </w:r>
    </w:p>
    <w:bookmarkStart w:id="31" w:name="how-it-works-2"/>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31"/>
    <w:bookmarkStart w:id="32"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32"/>
    <w:bookmarkStart w:id="33"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33"/>
    <w:bookmarkEnd w:id="34"/>
    <w:bookmarkStart w:id="38" w:name="strategy-4-homework-preparation"/>
    <w:p>
      <w:pPr>
        <w:pStyle w:val="Heading2"/>
      </w:pPr>
      <w:r>
        <w:t xml:space="preserve">Strategy 4: Homework Preparation</w:t>
      </w:r>
    </w:p>
    <w:p>
      <w:pPr>
        <w:pStyle w:val="FirstParagraph"/>
      </w:pPr>
      <w:r>
        <w:rPr>
          <w:b/>
          <w:bCs/>
        </w:rPr>
        <w:t xml:space="preserve">Best for</w:t>
      </w:r>
      <w:r>
        <w:t xml:space="preserve">: Students who have home AI access but no access at school</w:t>
      </w:r>
    </w:p>
    <w:bookmarkStart w:id="35" w:name="how-it-works-3"/>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5"/>
    <w:bookmarkStart w:id="36"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6"/>
    <w:bookmarkStart w:id="37"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7"/>
    <w:bookmarkEnd w:id="38"/>
    <w:bookmarkStart w:id="42" w:name="strategy-5-think-aloud-demonstration"/>
    <w:p>
      <w:pPr>
        <w:pStyle w:val="Heading2"/>
      </w:pPr>
      <w:r>
        <w:t xml:space="preserve">Strategy 5: Think-Aloud Demonstration</w:t>
      </w:r>
    </w:p>
    <w:p>
      <w:pPr>
        <w:pStyle w:val="FirstParagraph"/>
      </w:pPr>
      <w:r>
        <w:rPr>
          <w:b/>
          <w:bCs/>
        </w:rPr>
        <w:t xml:space="preserve">Best for</w:t>
      </w:r>
      <w:r>
        <w:t xml:space="preserve">: Situations where one AI interaction serves the whole class</w:t>
      </w:r>
    </w:p>
    <w:bookmarkStart w:id="39" w:name="how-it-works-4"/>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9"/>
    <w:bookmarkStart w:id="40"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40"/>
    <w:bookmarkStart w:id="41"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41"/>
    <w:bookmarkEnd w:id="42"/>
    <w:bookmarkStart w:id="43" w:name="hybrid-approaches"/>
    <w:p>
      <w:pPr>
        <w:pStyle w:val="Heading2"/>
      </w:pPr>
      <w:r>
        <w:t xml:space="preserve">Hybrid Approaches</w:t>
      </w:r>
    </w:p>
    <w:p>
      <w:pPr>
        <w:pStyle w:val="FirstParagraph"/>
      </w:pPr>
      <w:r>
        <w:t xml:space="preserve">Different resource situations call for different combinations of strategies:</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Nothing</w:t>
            </w:r>
          </w:p>
        </w:tc>
        <w:tc>
          <w:tcPr/>
          <w:p>
            <w:pPr>
              <w:pStyle w:val="Compact"/>
            </w:pPr>
            <w:r>
              <w:t xml:space="preserve">Pre-Generated Response Cards + Teacher Role-Play</w:t>
            </w:r>
          </w:p>
        </w:tc>
      </w:tr>
    </w:tbl>
    <w:bookmarkEnd w:id="43"/>
    <w:bookmarkStart w:id="51" w:name="key-pedagogical-points"/>
    <w:p>
      <w:pPr>
        <w:pStyle w:val="Heading2"/>
      </w:pPr>
      <w:r>
        <w:t xml:space="preserve">Key Pedagogical Points</w:t>
      </w:r>
    </w:p>
    <w:bookmarkStart w:id="44"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4"/>
    <w:bookmarkStart w:id="45"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5"/>
    <w:bookmarkStart w:id="50"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9">
              <w:r>
                <w:rPr>
                  <w:rStyle w:val="Hyperlink"/>
                </w:rPr>
                <w:t xml:space="preserve">Explore the research →</w:t>
              </w:r>
            </w:hyperlink>
          </w:p>
          <w:p/>
        </w:tc>
      </w:tr>
    </w:tbl>
    <w:bookmarkEnd w:id="50"/>
    <w:bookmarkEnd w:id="51"/>
    <w:bookmarkStart w:id="52"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2"/>
    <w:bookmarkStart w:id="56" w:name="adapting-specific-activities"/>
    <w:p>
      <w:pPr>
        <w:pStyle w:val="Heading2"/>
      </w:pPr>
      <w:r>
        <w:t xml:space="preserve">Adapting Specific Activities</w:t>
      </w:r>
    </w:p>
    <w:bookmarkStart w:id="53" w:name="security-detective-teams-low-resource"/>
    <w:p>
      <w:pPr>
        <w:pStyle w:val="Heading3"/>
      </w:pPr>
      <w:r>
        <w:t xml:space="preserve">Security Detective Teams (Low-Resource)</w:t>
      </w:r>
    </w:p>
    <w:p>
      <w:pPr>
        <w:pStyle w:val="FirstParagraph"/>
      </w:pPr>
      <w:r>
        <w:t xml:space="preserve">Pre-generate password analysis cards and have the teacher demonstrate one investigation path. Groups focus on human evidence analysis while sharing a common set of AI observations across all groups.</w:t>
      </w:r>
    </w:p>
    <w:bookmarkEnd w:id="53"/>
    <w:bookmarkStart w:id="54" w:name="X903d7eaa984e1c811b612398bba5d4ed10f572d"/>
    <w:p>
      <w:pPr>
        <w:pStyle w:val="Heading3"/>
      </w:pPr>
      <w:r>
        <w:t xml:space="preserve">AI-Assisted Incident Response (Low-Resource)</w:t>
      </w:r>
    </w:p>
    <w:p>
      <w:pPr>
        <w:pStyle w:val="FirstParagraph"/>
      </w:pPr>
      <w:r>
        <w:t xml:space="preserve">Pre-generate threat assessment and recommendation cards. Groups draw cards at decision points, with emphasis on role-playing and team coordination. AI responses reveal gradually, functioning like game cards that add information as the activity progresses.</w:t>
      </w:r>
    </w:p>
    <w:bookmarkEnd w:id="54"/>
    <w:bookmarkStart w:id="55" w:name="X53760f6c96992c3cdae37641cc7c2e0e0c53fae"/>
    <w:p>
      <w:pPr>
        <w:pStyle w:val="Heading3"/>
      </w:pPr>
      <w:r>
        <w:t xml:space="preserve">Ethics in Automated Security (Low-Resource)</w:t>
      </w:r>
    </w:p>
    <w:p>
      <w:pPr>
        <w:pStyle w:val="FirstParagraph"/>
      </w:pPr>
      <w:r>
        <w:t xml:space="preserve">Use the printed AI Perspective Cards already included in the activity materials. The teacher reads AI perspectives aloud. This activity works particularly well without live AI because it centers on discussion. Students can argue for the AI position as a role-play exercise.</w:t>
      </w:r>
    </w:p>
    <w:bookmarkEnd w:id="55"/>
    <w:bookmarkEnd w:id="56"/>
    <w:bookmarkStart w:id="57" w:name="remember"/>
    <w:p>
      <w:pPr>
        <w:pStyle w:val="Heading2"/>
      </w:pPr>
      <w:r>
        <w:t xml:space="preserve">Remember</w:t>
      </w:r>
    </w:p>
    <w:p>
      <w:pPr>
        <w:pStyle w:val="FirstParagraph"/>
      </w:pPr>
      <w:r>
        <w:t xml:space="preserve">The goal is not for every student to interact directly with AI. The goal is for every student to</w:t>
      </w:r>
      <w:r>
        <w:t xml:space="preserve"> </w:t>
      </w:r>
      <w:r>
        <w:rPr>
          <w:b/>
          <w:bCs/>
        </w:rPr>
        <w:t xml:space="preserve">understand human-AI partnership</w:t>
      </w:r>
      <w:r>
        <w:t xml:space="preserve"> </w:t>
      </w:r>
      <w:r>
        <w:t xml:space="preserve">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hyperlink" Id="rId49"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9"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2025-12-05T21:07:15Z</dcterms:created>
  <dcterms:modified xsi:type="dcterms:W3CDTF">2025-12-05T21:07:15Z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