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04"/>
        <w:gridCol w:w="2515"/>
        <w:gridCol w:w="27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Cybersecurity, Vulnerability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Policy and Planning, Privacy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Response, Defensive Cybersecurity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Defensive Cybersecurity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Analysis</w:t>
      </w:r>
      <w:r>
        <w:t xml:space="preserve"> </w:t>
      </w:r>
      <w:r>
        <w:t xml:space="preserve">work roles.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NIST Special Publication 800-181 Revision 1: Workforce Framework for Cybersecurity (NICE Framework)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NICE Framework Version 2.1.0 (December 2025)</w:t>
        </w:r>
      </w:hyperlink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2025-12-09T16:38:46Z</dcterms:created>
  <dcterms:modified xsi:type="dcterms:W3CDTF">2025-12-09T16:38:46Z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