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3-5.DC.PRI</w:t>
      </w:r>
      <w:r>
        <w:t xml:space="preserve">: Basic privacy concepts</w:t>
      </w:r>
    </w:p>
    <w:p>
      <w:pPr>
        <w:pStyle w:val="Compact"/>
        <w:numPr>
          <w:ilvl w:val="0"/>
          <w:numId w:val="1002"/>
        </w:numPr>
      </w:pPr>
      <w:r>
        <w:rPr>
          <w:b/>
          <w:bCs/>
        </w:rPr>
        <w:t xml:space="preserve">3-5.DC.CIT</w:t>
      </w:r>
      <w:r>
        <w:t xml:space="preserve">: Responsible digital citizenship</w:t>
      </w:r>
    </w:p>
    <w:p>
      <w:pPr>
        <w:pStyle w:val="Compact"/>
        <w:numPr>
          <w:ilvl w:val="0"/>
          <w:numId w:val="1002"/>
        </w:numPr>
      </w:pPr>
      <w:r>
        <w:rPr>
          <w:b/>
          <w:bCs/>
        </w:rPr>
        <w:t xml:space="preserve">3-5.SEC.THRT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2025-12-07T02:58:17Z</dcterms:created>
  <dcterms:modified xsi:type="dcterms:W3CDTF">2025-12-07T02:58:17Z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