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detection, response, and recovery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Roles:</w:t>
      </w:r>
      <w:r>
        <w:t xml:space="preserve"> </w:t>
      </w:r>
      <w:r>
        <w:t xml:space="preserve">- Incident Responder (PR-CIR-001)</w:t>
      </w:r>
      <w:r>
        <w:t xml:space="preserve"> </w:t>
      </w:r>
      <w:r>
        <w:t xml:space="preserve">- Cyber Defense Analyst (PR-CDA-001)</w:t>
      </w:r>
      <w:r>
        <w:t xml:space="preserve"> </w:t>
      </w:r>
      <w:r>
        <w:t xml:space="preserve">- Cyber Defense Incident Responder (PR-CDA-001)</w:t>
      </w:r>
    </w:p>
    <w:p>
      <w:pPr>
        <w:pStyle w:val="BodyText"/>
      </w:pPr>
      <w:r>
        <w:rPr>
          <w:b/>
          <w:bCs/>
        </w:rPr>
        <w:t xml:space="preserve">Supporting Work Roles:</w:t>
      </w:r>
      <w:r>
        <w:t xml:space="preserve"> </w:t>
      </w:r>
      <w:r>
        <w:t xml:space="preserve">- Threat/Warning Analyst (AN-TWA-001)</w:t>
      </w:r>
      <w:r>
        <w:t xml:space="preserve"> </w:t>
      </w:r>
      <w:r>
        <w:t xml:space="preserve">- Security Operations Center Analyst (OV-SOC-001)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Cyber Defense Incident Responder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Cyber Defense Analyst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Threat/Warning Analyst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Cyber Defense Forensics Analyst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4"/>
        </w:numPr>
      </w:pPr>
      <w:r>
        <w:t xml:space="preserve">Incident severity and scope</w:t>
      </w:r>
    </w:p>
    <w:p>
      <w:pPr>
        <w:pStyle w:val="Compact"/>
        <w:numPr>
          <w:ilvl w:val="1"/>
          <w:numId w:val="1004"/>
        </w:numPr>
      </w:pPr>
      <w:r>
        <w:t xml:space="preserve">Immediate actions taken</w:t>
      </w:r>
    </w:p>
    <w:p>
      <w:pPr>
        <w:pStyle w:val="Compact"/>
        <w:numPr>
          <w:ilvl w:val="1"/>
          <w:numId w:val="1004"/>
        </w:numPr>
      </w:pPr>
      <w:r>
        <w:t xml:space="preserve">Business impact assessment</w:t>
      </w:r>
    </w:p>
    <w:p>
      <w:pPr>
        <w:pStyle w:val="Compact"/>
        <w:numPr>
          <w:ilvl w:val="1"/>
          <w:numId w:val="1004"/>
        </w:numPr>
      </w:pPr>
      <w:r>
        <w:t xml:space="preserve">Next steps and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5"/>
        </w:numPr>
      </w:pPr>
      <w:r>
        <w:t xml:space="preserve">Operational impact</w:t>
      </w:r>
    </w:p>
    <w:p>
      <w:pPr>
        <w:pStyle w:val="Compact"/>
        <w:numPr>
          <w:ilvl w:val="1"/>
          <w:numId w:val="1005"/>
        </w:numPr>
      </w:pPr>
      <w:r>
        <w:t xml:space="preserve">Workaround procedures</w:t>
      </w:r>
    </w:p>
    <w:p>
      <w:pPr>
        <w:pStyle w:val="Compact"/>
        <w:numPr>
          <w:ilvl w:val="1"/>
          <w:numId w:val="1005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6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6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6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08"/>
        </w:numPr>
      </w:pPr>
      <w:r>
        <w:t xml:space="preserve">Pattern detection speed</w:t>
      </w:r>
    </w:p>
    <w:p>
      <w:pPr>
        <w:pStyle w:val="Compact"/>
        <w:numPr>
          <w:ilvl w:val="1"/>
          <w:numId w:val="1008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8"/>
        </w:numPr>
      </w:pPr>
      <w:r>
        <w:t xml:space="preserve">Attack chain mapping</w:t>
      </w:r>
    </w:p>
    <w:p>
      <w:pPr>
        <w:pStyle w:val="Compact"/>
        <w:numPr>
          <w:ilvl w:val="1"/>
          <w:numId w:val="1008"/>
        </w:numPr>
      </w:pPr>
      <w:r>
        <w:t xml:space="preserve">Risk quantification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09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09"/>
        </w:numPr>
      </w:pPr>
      <w:r>
        <w:t xml:space="preserve">Stakeholder communication</w:t>
      </w:r>
    </w:p>
    <w:p>
      <w:pPr>
        <w:pStyle w:val="Compact"/>
        <w:numPr>
          <w:ilvl w:val="1"/>
          <w:numId w:val="1009"/>
        </w:numPr>
      </w:pPr>
      <w:r>
        <w:t xml:space="preserve">Trade-off decisions</w:t>
      </w:r>
    </w:p>
    <w:p>
      <w:pPr>
        <w:pStyle w:val="Compact"/>
        <w:numPr>
          <w:ilvl w:val="1"/>
          <w:numId w:val="1009"/>
        </w:numPr>
      </w:pPr>
      <w:r>
        <w:t xml:space="preserve">Ethical considerations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0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0"/>
        </w:numPr>
      </w:pPr>
      <w:r>
        <w:t xml:space="preserve">Analysis depth limitations</w:t>
      </w:r>
    </w:p>
    <w:p>
      <w:pPr>
        <w:pStyle w:val="Compact"/>
        <w:numPr>
          <w:ilvl w:val="1"/>
          <w:numId w:val="1010"/>
        </w:numPr>
      </w:pPr>
      <w:r>
        <w:t xml:space="preserve">Correlation challenges</w:t>
      </w:r>
    </w:p>
    <w:p>
      <w:pPr>
        <w:pStyle w:val="Compact"/>
        <w:numPr>
          <w:ilvl w:val="1"/>
          <w:numId w:val="1010"/>
        </w:numPr>
      </w:pPr>
      <w:r>
        <w:t xml:space="preserve">Response speed impact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1"/>
        </w:numPr>
      </w:pPr>
      <w:r>
        <w:t xml:space="preserve">Context-blind automation</w:t>
      </w:r>
    </w:p>
    <w:p>
      <w:pPr>
        <w:pStyle w:val="Compact"/>
        <w:numPr>
          <w:ilvl w:val="1"/>
          <w:numId w:val="1011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1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1"/>
        </w:numPr>
      </w:pPr>
      <w:r>
        <w:t xml:space="preserve">Ethical oversight absence</w:t>
      </w:r>
    </w:p>
    <w:bookmarkEnd w:id="49"/>
    <w:bookmarkEnd w:id="50"/>
    <w:bookmarkStart w:id="55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Start w:id="54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1: SentinelAI consultation with role-specific prompts</w:t>
            </w:r>
          </w:p>
        </w:tc>
        <w:tc>
          <w:tcPr/>
          <w:p>
            <w:pPr>
              <w:pStyle w:val="Compact"/>
            </w:pPr>
            <w:r>
              <w:t xml:space="preserve">Quality of AI queries and response 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5 Debrief:</w:t>
            </w:r>
            <w:r>
              <w:t xml:space="preserve"> </w:t>
            </w:r>
            <w:r>
              <w:t xml:space="preserve">“What did AI do well?”</w:t>
            </w:r>
            <w:r>
              <w:t xml:space="preserve"> </w:t>
            </w:r>
            <w:r>
              <w:t xml:space="preserve">vs. </w:t>
            </w:r>
            <w:r>
              <w:t xml:space="preserve">“Where did human judgment matter?”</w:t>
            </w:r>
          </w:p>
        </w:tc>
        <w:tc>
          <w:tcPr/>
          <w:p>
            <w:pPr>
              <w:pStyle w:val="Compact"/>
            </w:pPr>
            <w:r>
              <w:t xml:space="preserve">Debrief discussion responses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SentinelAI</w:t>
            </w:r>
            <w:r>
              <w:t xml:space="preserve"> </w:t>
            </w:r>
            <w:r>
              <w:t xml:space="preserve">“LIMITATION NOTICE”</w:t>
            </w:r>
            <w:r>
              <w:t xml:space="preserve"> </w:t>
            </w:r>
            <w:r>
              <w:t xml:space="preserve">and human decision authority requirement</w:t>
            </w:r>
          </w:p>
        </w:tc>
        <w:tc>
          <w:tcPr/>
          <w:p>
            <w:pPr>
              <w:pStyle w:val="Compact"/>
            </w:pPr>
            <w:r>
              <w:t xml:space="preserve">Phase 3 decision rationale showing where AI recommendations were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Decision Matrix: integrating AI recommendation with business impact and risk analysis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 with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Package E: Business Context informing response decisions</w:t>
            </w:r>
          </w:p>
        </w:tc>
        <w:tc>
          <w:tcPr/>
          <w:p>
            <w:pPr>
              <w:pStyle w:val="Compact"/>
            </w:pPr>
            <w:r>
              <w:t xml:space="preserve">How business context modified purely technical AI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3 documentation: Decision, Rationale, AI input, Human factors</w:t>
            </w:r>
          </w:p>
        </w:tc>
        <w:tc>
          <w:tcPr/>
          <w:p>
            <w:pPr>
              <w:pStyle w:val="Compact"/>
            </w:pPr>
            <w:r>
              <w:t xml:space="preserve">Quality and depth of documented decision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with explicit NICE Work Role alignment, Career Connections section</w:t>
            </w:r>
          </w:p>
        </w:tc>
        <w:tc>
          <w:tcPr/>
          <w:p>
            <w:pPr>
              <w:pStyle w:val="Compact"/>
            </w:pPr>
            <w:r>
              <w:t xml:space="preserve">Debrief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responses and role execution quality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NICE Framework Application Rubric</w:t>
        </w:r>
      </w:hyperlink>
    </w:p>
    <w:bookmarkEnd w:id="54"/>
    <w:bookmarkEnd w:id="55"/>
    <w:bookmarkStart w:id="59" w:name="career-connections"/>
    <w:p>
      <w:pPr>
        <w:pStyle w:val="Heading2"/>
      </w:pPr>
      <w:r>
        <w:t xml:space="preserve">Career Connections</w:t>
      </w:r>
    </w:p>
    <w:bookmarkStart w:id="56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6"/>
    <w:bookmarkStart w:id="57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7"/>
    <w:bookmarkStart w:id="58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2025-12-07T03:00:54Z</dcterms:created>
  <dcterms:modified xsi:type="dcterms:W3CDTF">2025-12-07T03:00:54Z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