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 and incident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Advanced threat analysis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(Protection and Defense category):</w:t>
      </w:r>
    </w:p>
    <w:p>
      <w:pPr>
        <w:pStyle w:val="Compact"/>
        <w:numPr>
          <w:ilvl w:val="0"/>
          <w:numId w:val="1003"/>
        </w:numPr>
      </w:pPr>
      <w:r>
        <w:t xml:space="preserve">Incident Response</w:t>
      </w:r>
    </w:p>
    <w:p>
      <w:pPr>
        <w:pStyle w:val="Compact"/>
        <w:numPr>
          <w:ilvl w:val="0"/>
          <w:numId w:val="1003"/>
        </w:numPr>
      </w:pPr>
      <w:r>
        <w:t xml:space="preserve">Defensive Cybersecurity</w:t>
      </w:r>
    </w:p>
    <w:p>
      <w:pPr>
        <w:pStyle w:val="Compact"/>
        <w:numPr>
          <w:ilvl w:val="0"/>
          <w:numId w:val="1003"/>
        </w:numPr>
      </w:pPr>
      <w:r>
        <w:t xml:space="preserve">Digital Forensics</w:t>
      </w:r>
    </w:p>
    <w:p>
      <w:pPr>
        <w:pStyle w:val="FirstParagraph"/>
      </w:pPr>
      <w:r>
        <w:rPr>
          <w:b/>
          <w:bCs/>
        </w:rPr>
        <w:t xml:space="preserve">Supporting Work Roles:</w:t>
      </w:r>
    </w:p>
    <w:p>
      <w:pPr>
        <w:pStyle w:val="Compact"/>
        <w:numPr>
          <w:ilvl w:val="0"/>
          <w:numId w:val="1004"/>
        </w:numPr>
      </w:pPr>
      <w:r>
        <w:t xml:space="preserve">Threat Analysis</w:t>
      </w:r>
    </w:p>
    <w:p>
      <w:pPr>
        <w:pStyle w:val="Compact"/>
        <w:numPr>
          <w:ilvl w:val="0"/>
          <w:numId w:val="1004"/>
        </w:numPr>
      </w:pPr>
      <w:r>
        <w:t xml:space="preserve">Vulnerability Analysis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Incident Response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Defensive Cybersecurity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 Analysis (Protection and Defense)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Digital Forensics (Investigation)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6"/>
        </w:numPr>
      </w:pPr>
      <w:r>
        <w:t xml:space="preserve">Incident severity and scope</w:t>
      </w:r>
    </w:p>
    <w:p>
      <w:pPr>
        <w:pStyle w:val="Compact"/>
        <w:numPr>
          <w:ilvl w:val="1"/>
          <w:numId w:val="1006"/>
        </w:numPr>
      </w:pPr>
      <w:r>
        <w:t xml:space="preserve">Immediate actions taken</w:t>
      </w:r>
    </w:p>
    <w:p>
      <w:pPr>
        <w:pStyle w:val="Compact"/>
        <w:numPr>
          <w:ilvl w:val="1"/>
          <w:numId w:val="1006"/>
        </w:numPr>
      </w:pPr>
      <w:r>
        <w:t xml:space="preserve">Business impact assessment</w:t>
      </w:r>
    </w:p>
    <w:p>
      <w:pPr>
        <w:pStyle w:val="Compact"/>
        <w:numPr>
          <w:ilvl w:val="1"/>
          <w:numId w:val="1006"/>
        </w:numPr>
      </w:pPr>
      <w:r>
        <w:t xml:space="preserve">Next steps and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7"/>
        </w:numPr>
      </w:pPr>
      <w:r>
        <w:t xml:space="preserve">Operational impact</w:t>
      </w:r>
    </w:p>
    <w:p>
      <w:pPr>
        <w:pStyle w:val="Compact"/>
        <w:numPr>
          <w:ilvl w:val="1"/>
          <w:numId w:val="1007"/>
        </w:numPr>
      </w:pPr>
      <w:r>
        <w:t xml:space="preserve">Workaround procedures</w:t>
      </w:r>
    </w:p>
    <w:p>
      <w:pPr>
        <w:pStyle w:val="Compact"/>
        <w:numPr>
          <w:ilvl w:val="1"/>
          <w:numId w:val="1007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8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8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8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10"/>
        </w:numPr>
      </w:pPr>
      <w:r>
        <w:t xml:space="preserve">Pattern detection speed</w:t>
      </w:r>
    </w:p>
    <w:p>
      <w:pPr>
        <w:pStyle w:val="Compact"/>
        <w:numPr>
          <w:ilvl w:val="1"/>
          <w:numId w:val="1010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10"/>
        </w:numPr>
      </w:pPr>
      <w:r>
        <w:t xml:space="preserve">Attack chain mapping</w:t>
      </w:r>
    </w:p>
    <w:p>
      <w:pPr>
        <w:pStyle w:val="Compact"/>
        <w:numPr>
          <w:ilvl w:val="1"/>
          <w:numId w:val="1010"/>
        </w:numPr>
      </w:pPr>
      <w:r>
        <w:t xml:space="preserve">Risk quantification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11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11"/>
        </w:numPr>
      </w:pPr>
      <w:r>
        <w:t xml:space="preserve">Stakeholder communication</w:t>
      </w:r>
    </w:p>
    <w:p>
      <w:pPr>
        <w:pStyle w:val="Compact"/>
        <w:numPr>
          <w:ilvl w:val="1"/>
          <w:numId w:val="1011"/>
        </w:numPr>
      </w:pPr>
      <w:r>
        <w:t xml:space="preserve">Trade-off decisions</w:t>
      </w:r>
    </w:p>
    <w:p>
      <w:pPr>
        <w:pStyle w:val="Compact"/>
        <w:numPr>
          <w:ilvl w:val="1"/>
          <w:numId w:val="1011"/>
        </w:numPr>
      </w:pPr>
      <w:r>
        <w:t xml:space="preserve">Ethical considerations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2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2"/>
        </w:numPr>
      </w:pPr>
      <w:r>
        <w:t xml:space="preserve">Analysis depth limitations</w:t>
      </w:r>
    </w:p>
    <w:p>
      <w:pPr>
        <w:pStyle w:val="Compact"/>
        <w:numPr>
          <w:ilvl w:val="1"/>
          <w:numId w:val="1012"/>
        </w:numPr>
      </w:pPr>
      <w:r>
        <w:t xml:space="preserve">Correlation challenges</w:t>
      </w:r>
    </w:p>
    <w:p>
      <w:pPr>
        <w:pStyle w:val="Compact"/>
        <w:numPr>
          <w:ilvl w:val="1"/>
          <w:numId w:val="1012"/>
        </w:numPr>
      </w:pPr>
      <w:r>
        <w:t xml:space="preserve">Response speed 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3"/>
        </w:numPr>
      </w:pPr>
      <w:r>
        <w:t xml:space="preserve">Context-blind automation</w:t>
      </w:r>
    </w:p>
    <w:p>
      <w:pPr>
        <w:pStyle w:val="Compact"/>
        <w:numPr>
          <w:ilvl w:val="1"/>
          <w:numId w:val="1013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3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3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2025-12-09T14:41:24Z</dcterms:created>
  <dcterms:modified xsi:type="dcterms:W3CDTF">2025-12-09T14:41:24Z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