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 and responsibility</w:t>
      </w:r>
    </w:p>
    <w:p>
      <w:pPr>
        <w:pStyle w:val="Compact"/>
        <w:numPr>
          <w:ilvl w:val="0"/>
          <w:numId w:val="1002"/>
        </w:numPr>
      </w:pPr>
      <w:r>
        <w:rPr>
          <w:b/>
          <w:bCs/>
        </w:rPr>
        <w:t xml:space="preserve">K-2.SEC.ACC</w:t>
      </w:r>
      <w:r>
        <w:t xml:space="preserve">: Understanding access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2025-12-09T14:41:45Z</dcterms:created>
  <dcterms:modified xsi:type="dcterms:W3CDTF">2025-12-09T14:41:45Z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