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Human-AI Collaboration Rubric</w:t>
      </w:r>
    </w:p>
    <w:p>
      <w:pPr>
        <w:pStyle w:val="Subtitle"/>
      </w:pPr>
      <w:r>
        <w:t xml:space="preserve">Assessing Partnership Understanding in Cybersecurity Activities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students’ understanding and demonstration of authentic human-AI collaboration—treating AI as a team member with complementary capabilities rather than as a tool or answer source.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All three</w:t>
      </w:r>
      <w:r>
        <w:t xml:space="preserve"> </w:t>
      </w:r>
      <w:r>
        <w:t xml:space="preserve">“True Teamwork”</w:t>
      </w:r>
      <w:r>
        <w:t xml:space="preserve"> </w:t>
      </w:r>
      <w:r>
        <w:t xml:space="preserve">activities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4-16 points (4 criteria × 1-4 points each)</w:t>
      </w:r>
    </w:p>
    <w:bookmarkEnd w:id="20"/>
    <w:bookmarkStart w:id="25" w:name="assessment-criteria"/>
    <w:p>
      <w:pPr>
        <w:pStyle w:val="Heading2"/>
      </w:pPr>
      <w:r>
        <w:t xml:space="preserve">Assessment Criteria</w:t>
      </w:r>
    </w:p>
    <w:bookmarkStart w:id="21" w:name="X46621a239f64da0d2b92d067af1de6479319ee5"/>
    <w:p>
      <w:pPr>
        <w:pStyle w:val="Heading3"/>
      </w:pPr>
      <w:r>
        <w:t xml:space="preserve">Criterion 1: AI Partnership Framing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Consistently frames AI as collaborative partner</w:t>
            </w:r>
          </w:p>
        </w:tc>
        <w:tc>
          <w:tcPr/>
          <w:p>
            <w:pPr>
              <w:pStyle w:val="Compact"/>
            </w:pPr>
            <w:r>
              <w:t xml:space="preserve">Uses partnership language; asks AI for perspectives, not answers; acknowledges AI as team member with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Demonstrates understanding of AI as partner</w:t>
            </w:r>
          </w:p>
        </w:tc>
        <w:tc>
          <w:tcPr/>
          <w:p>
            <w:pPr>
              <w:pStyle w:val="Compact"/>
            </w:pPr>
            <w:r>
              <w:t xml:space="preserve">Engages AI conversationally; recognizes AI contributions to team outcome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Shows some partnership awareness</w:t>
            </w:r>
          </w:p>
        </w:tc>
        <w:tc>
          <w:tcPr/>
          <w:p>
            <w:pPr>
              <w:pStyle w:val="Compact"/>
            </w:pPr>
            <w:r>
              <w:t xml:space="preserve">Occasional partnership language; still tends toward tool-use framing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Treats AI as tool/search engine</w:t>
            </w:r>
          </w:p>
        </w:tc>
        <w:tc>
          <w:tcPr/>
          <w:p>
            <w:pPr>
              <w:pStyle w:val="Compact"/>
            </w:pPr>
            <w:r>
              <w:t xml:space="preserve">Uses AI only for answers; no evidence of collaborative framing</w:t>
            </w:r>
          </w:p>
        </w:tc>
      </w:tr>
    </w:tbl>
    <w:bookmarkEnd w:id="21"/>
    <w:bookmarkStart w:id="22" w:name="X152fa1cbf508b9d1b28b7b64b765e29839bead1"/>
    <w:p>
      <w:pPr>
        <w:pStyle w:val="Heading3"/>
      </w:pPr>
      <w:r>
        <w:t xml:space="preserve">Criterion 2: Complementary Strengths Recognition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Articulates specific complementary strengths and leverages them strategically</w:t>
            </w:r>
          </w:p>
        </w:tc>
        <w:tc>
          <w:tcPr/>
          <w:p>
            <w:pPr>
              <w:pStyle w:val="Compact"/>
            </w:pPr>
            <w:r>
              <w:t xml:space="preserve">Identifies what AI does better AND what humans do better; adjusts approach based on these strengths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Recognizes different strengths</w:t>
            </w:r>
          </w:p>
        </w:tc>
        <w:tc>
          <w:tcPr/>
          <w:p>
            <w:pPr>
              <w:pStyle w:val="Compact"/>
            </w:pPr>
            <w:r>
              <w:t xml:space="preserve">Can name human strengths (context, judgment) and AI strengths (patterns, speed)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recognition</w:t>
            </w:r>
          </w:p>
        </w:tc>
        <w:tc>
          <w:tcPr/>
          <w:p>
            <w:pPr>
              <w:pStyle w:val="Compact"/>
            </w:pPr>
            <w:r>
              <w:t xml:space="preserve">Acknowledges AI has capabilities but doesn’t differentiate from human 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recognition of complementary nature</w:t>
            </w:r>
          </w:p>
        </w:tc>
        <w:tc>
          <w:tcPr/>
          <w:p>
            <w:pPr>
              <w:pStyle w:val="Compact"/>
            </w:pPr>
            <w:r>
              <w:t xml:space="preserve">Treats AI as superior or inferior rather than complementary</w:t>
            </w:r>
          </w:p>
        </w:tc>
      </w:tr>
    </w:tbl>
    <w:bookmarkEnd w:id="22"/>
    <w:bookmarkStart w:id="23" w:name="Xa5d3d395dd8adf30fcd25dcdafc317c0aeec1ab"/>
    <w:p>
      <w:pPr>
        <w:pStyle w:val="Heading3"/>
      </w:pPr>
      <w:r>
        <w:t xml:space="preserve">Criterion 3: AI Limitation Awareness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Actively identifies and works around AI limitations</w:t>
            </w:r>
          </w:p>
        </w:tc>
        <w:tc>
          <w:tcPr/>
          <w:p>
            <w:pPr>
              <w:pStyle w:val="Compact"/>
            </w:pPr>
            <w:r>
              <w:t xml:space="preserve">Asks AI about its limitations; designs questions to work around weaknesses; doesn’t over-rely on 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Acknowledges AI limitations</w:t>
            </w:r>
          </w:p>
        </w:tc>
        <w:tc>
          <w:tcPr/>
          <w:p>
            <w:pPr>
              <w:pStyle w:val="Compact"/>
            </w:pPr>
            <w:r>
              <w:t xml:space="preserve">Recognizes when AI lacks context or may be wrong; seeks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Some limitation awareness</w:t>
            </w:r>
          </w:p>
        </w:tc>
        <w:tc>
          <w:tcPr/>
          <w:p>
            <w:pPr>
              <w:pStyle w:val="Compact"/>
            </w:pPr>
            <w:r>
              <w:t xml:space="preserve">Notices when AI gives unexpected answers but doesn’t consistently account for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Treats AI as infallible</w:t>
            </w:r>
          </w:p>
        </w:tc>
        <w:tc>
          <w:tcPr/>
          <w:p>
            <w:pPr>
              <w:pStyle w:val="Compact"/>
            </w:pPr>
            <w:r>
              <w:t xml:space="preserve">Accepts all AI output without question; no critical evaluation</w:t>
            </w:r>
          </w:p>
        </w:tc>
      </w:tr>
    </w:tbl>
    <w:bookmarkEnd w:id="23"/>
    <w:bookmarkStart w:id="24" w:name="criterion-4-synthesis-quality-1-4-points"/>
    <w:p>
      <w:pPr>
        <w:pStyle w:val="Heading3"/>
      </w:pPr>
      <w:r>
        <w:t xml:space="preserve">Criterion 4: Synthesis Quality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Creates novel insights from human-AI synthesis</w:t>
            </w:r>
          </w:p>
        </w:tc>
        <w:tc>
          <w:tcPr/>
          <w:p>
            <w:pPr>
              <w:pStyle w:val="Compact"/>
            </w:pPr>
            <w:r>
              <w:t xml:space="preserve">Final conclusions demonstrate synergy—insights neither human nor AI would reach alone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Meaningful integration</w:t>
            </w:r>
          </w:p>
        </w:tc>
        <w:tc>
          <w:tcPr/>
          <w:p>
            <w:pPr>
              <w:pStyle w:val="Compact"/>
            </w:pPr>
            <w:r>
              <w:t xml:space="preserve">Combines human and AI contributions into coherent conclusion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integration</w:t>
            </w:r>
          </w:p>
        </w:tc>
        <w:tc>
          <w:tcPr/>
          <w:p>
            <w:pPr>
              <w:pStyle w:val="Compact"/>
            </w:pPr>
            <w:r>
              <w:t xml:space="preserve">Lists human and AI contributions but doesn’t fully synthesize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integration</w:t>
            </w:r>
          </w:p>
        </w:tc>
        <w:tc>
          <w:tcPr/>
          <w:p>
            <w:pPr>
              <w:pStyle w:val="Compact"/>
            </w:pPr>
            <w:r>
              <w:t xml:space="preserve">Reports AI findings or human findings separately; no synthesis</w:t>
            </w:r>
          </w:p>
        </w:tc>
      </w:tr>
    </w:tbl>
    <w:bookmarkEnd w:id="24"/>
    <w:bookmarkEnd w:id="25"/>
    <w:bookmarkStart w:id="26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14-16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sophisticated understanding of human-AI partnership; ready for advanced collaboration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10-13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understands partnership concepts and applies them consistently; may benefit from more complex challenges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6-9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shows emerging partnership understanding; needs additional scaffolding and practice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4-5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needs fundamental instruction on AI as partner vs. tool; start with basic framing activities</w:t>
            </w:r>
          </w:p>
        </w:tc>
      </w:tr>
    </w:tbl>
    <w:bookmarkEnd w:id="26"/>
    <w:bookmarkStart w:id="27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For formative use</w:t>
      </w:r>
      <w:r>
        <w:t xml:space="preserve">: Focus on Criteria 1 and 2 early; these establish foundation for deeper understanding.</w:t>
      </w:r>
    </w:p>
    <w:p>
      <w:pPr>
        <w:pStyle w:val="BodyText"/>
      </w:pPr>
      <w:r>
        <w:rPr>
          <w:b/>
          <w:bCs/>
        </w:rPr>
        <w:t xml:space="preserve">For summative use</w:t>
      </w:r>
      <w:r>
        <w:t xml:space="preserve">: All four criteria provide comprehensive picture of collaboration understanding.</w:t>
      </w:r>
    </w:p>
    <w:p>
      <w:pPr>
        <w:pStyle w:val="BodyText"/>
      </w:pPr>
      <w:r>
        <w:rPr>
          <w:b/>
          <w:bCs/>
        </w:rPr>
        <w:t xml:space="preserve">Adaptation</w:t>
      </w:r>
      <w:r>
        <w:t xml:space="preserve">: Adjust expectations based on:</w:t>
      </w:r>
    </w:p>
    <w:p>
      <w:pPr>
        <w:pStyle w:val="Compact"/>
        <w:numPr>
          <w:ilvl w:val="0"/>
          <w:numId w:val="1001"/>
        </w:numPr>
      </w:pPr>
      <w:r>
        <w:t xml:space="preserve">Grade level (6th grade may cap at</w:t>
      </w:r>
      <w:r>
        <w:t xml:space="preserve"> </w:t>
      </w:r>
      <w:r>
        <w:t xml:space="preserve">“Proficient”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Prior AI experience</w:t>
      </w:r>
    </w:p>
    <w:p>
      <w:pPr>
        <w:pStyle w:val="Compact"/>
        <w:numPr>
          <w:ilvl w:val="0"/>
          <w:numId w:val="1001"/>
        </w:numPr>
      </w:pPr>
      <w:r>
        <w:t xml:space="preserve">Complexity of activity scenario</w:t>
      </w:r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Human-AI Collaboration Rubric</dc:title>
  <dc:creator/>
  <cp:keywords/>
  <dcterms:created xsi:type="dcterms:W3CDTF">2025-12-09T14:42:31Z</dcterms:created>
  <dcterms:modified xsi:type="dcterms:W3CDTF">2025-12-09T14:42:31Z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Partnership Understanding in Cybersecurity Activities</vt:lpwstr>
  </property>
  <property fmtid="{D5CDD505-2E9C-101B-9397-08002B2CF9AE}" pid="8" name="toc-title">
    <vt:lpwstr>Table of contents</vt:lpwstr>
  </property>
</Properties>
</file>