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9-12.SEC.POL</w:t>
      </w:r>
      <w:r>
        <w:t xml:space="preserve">: Security policy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9-12.DC.PRI</w:t>
      </w:r>
      <w:r>
        <w:t xml:space="preserve">: Advanced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9-12.SEC.GOV</w:t>
      </w:r>
      <w:r>
        <w:t xml:space="preserve">: Security governance frameworks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</w:t>
      </w:r>
      <w:r>
        <w:t xml:space="preserve"> </w:t>
      </w:r>
      <w:r>
        <w:t xml:space="preserve">- Cyber Policy and Strategy Planner (OV-SPP-002)</w:t>
      </w:r>
      <w:r>
        <w:t xml:space="preserve"> </w:t>
      </w:r>
      <w:r>
        <w:t xml:space="preserve">- Privacy Officer/Privacy Compliance Manager (OV-LGA-002)</w:t>
      </w:r>
      <w:r>
        <w:t xml:space="preserve"> </w:t>
      </w:r>
      <w:r>
        <w:t xml:space="preserve">- Information Systems Security Manager (OV-MGT-001)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Policy and Strategy Planner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Systems Security Manager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4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4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4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4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5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2025-12-06T00:07:43Z</dcterms:created>
  <dcterms:modified xsi:type="dcterms:W3CDTF">2025-12-06T00:07:43Z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