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3-5.SEC.ACC</w:t>
      </w:r>
      <w:r>
        <w:t xml:space="preserve">: Understanding access and safety procedures</w:t>
      </w:r>
    </w:p>
    <w:p>
      <w:pPr>
        <w:pStyle w:val="Compact"/>
        <w:numPr>
          <w:ilvl w:val="0"/>
          <w:numId w:val="1002"/>
        </w:numPr>
      </w:pPr>
      <w:r>
        <w:rPr>
          <w:b/>
          <w:bCs/>
        </w:rPr>
        <w:t xml:space="preserve">3-5.DC.ETH</w:t>
      </w:r>
      <w:r>
        <w:t xml:space="preserve">: Digital ethics and responsibility</w:t>
      </w:r>
    </w:p>
    <w:p>
      <w:pPr>
        <w:pStyle w:val="Compact"/>
        <w:numPr>
          <w:ilvl w:val="0"/>
          <w:numId w:val="1002"/>
        </w:numPr>
      </w:pPr>
      <w:r>
        <w:rPr>
          <w:b/>
          <w:bCs/>
        </w:rPr>
        <w:t xml:space="preserve">3-5.DC.THRT</w:t>
      </w:r>
      <w:r>
        <w:t xml:space="preserve">: Recognizing and responding to threats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2025-12-09T13:14:07Z</dcterms:created>
  <dcterms:modified xsi:type="dcterms:W3CDTF">2025-12-09T13:14:07Z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