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 </w:t>
      </w:r>
      <w:r>
        <w:t xml:space="preserve">(PD):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Defensive Cybersecurity</w:t>
      </w:r>
      <w:r>
        <w:t xml:space="preserve"> </w:t>
      </w:r>
      <w:r>
        <w:t xml:space="preserve">(PD):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Analysis</w:t>
      </w:r>
      <w:r>
        <w:t xml:space="preserve"> </w:t>
      </w:r>
      <w:r>
        <w:t xml:space="preserve">(PD):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Systems Security Management</w:t>
      </w:r>
      <w:r>
        <w:t xml:space="preserve"> </w:t>
      </w:r>
      <w:r>
        <w:t xml:space="preserve">(OG):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6-8.DC.THRT</w:t>
      </w:r>
      <w:r>
        <w:t xml:space="preserve">: Threat identification and response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6-8.SEC.CTRL</w:t>
      </w:r>
      <w:r>
        <w:t xml:space="preserve">: Security controls and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6-8.SEC.NET</w:t>
      </w:r>
      <w:r>
        <w:t xml:space="preserve">: Network security fundamentals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6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Start w:id="5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 AI Consultation Prompts: role-specific queries</w:t>
            </w:r>
          </w:p>
        </w:tc>
        <w:tc>
          <w:tcPr/>
          <w:p>
            <w:pPr>
              <w:pStyle w:val="Compact"/>
            </w:pPr>
            <w:r>
              <w:t xml:space="preserve">Quality and specificity of AI questions asked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Role distribution: IC decisions, SOC analysis, Threat Intel context</w:t>
            </w:r>
          </w:p>
        </w:tc>
        <w:tc>
          <w:tcPr/>
          <w:p>
            <w:pPr>
              <w:pStyle w:val="Compact"/>
            </w:pPr>
            <w:r>
              <w:t xml:space="preserve">Decision Log documenting AI input vs. human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Complication Injections requiring adaptation beyond AI recommendations</w:t>
            </w:r>
          </w:p>
        </w:tc>
        <w:tc>
          <w:tcPr/>
          <w:p>
            <w:pPr>
              <w:pStyle w:val="Compact"/>
            </w:pPr>
            <w:r>
              <w:t xml:space="preserve">Documented plan changes and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2: Collaborative planning combining technical + contextual factors</w:t>
            </w:r>
          </w:p>
        </w:tc>
        <w:tc>
          <w:tcPr/>
          <w:p>
            <w:pPr>
              <w:pStyle w:val="Compact"/>
            </w:pPr>
            <w:r>
              <w:t xml:space="preserve">Final response plan integrating all role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Phase 4 Debrief: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and role reflection</w:t>
            </w:r>
          </w:p>
        </w:tc>
        <w:tc>
          <w:tcPr/>
          <w:p>
            <w:pPr>
              <w:pStyle w:val="Compact"/>
            </w:pPr>
            <w:r>
              <w:t xml:space="preserve">After-action review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Decision Log Template: Options, AI Input, Final Decision, Rationale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explicitly tied to NICE Work Roles</w:t>
            </w:r>
          </w:p>
        </w:tc>
        <w:tc>
          <w:tcPr/>
          <w:p>
            <w:pPr>
              <w:pStyle w:val="Compact"/>
            </w:pPr>
            <w:r>
              <w:t xml:space="preserve">Career insights discussion and debrief responses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NICE Framework Application Rubric</w:t>
        </w:r>
      </w:hyperlink>
    </w:p>
    <w:bookmarkEnd w:id="55"/>
    <w:bookmarkEnd w:id="56"/>
    <w:bookmarkStart w:id="62" w:name="extension-activities"/>
    <w:p>
      <w:pPr>
        <w:pStyle w:val="Heading2"/>
      </w:pPr>
      <w:r>
        <w:t xml:space="preserve">Extension Activities</w:t>
      </w:r>
    </w:p>
    <w:bookmarkStart w:id="61" w:name="advanced-challenges"/>
    <w:p>
      <w:pPr>
        <w:pStyle w:val="Heading3"/>
      </w:pPr>
      <w:r>
        <w:t xml:space="preserve">Advanced Challenges</w:t>
      </w:r>
    </w:p>
    <w:bookmarkStart w:id="57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7"/>
    <w:bookmarkStart w:id="58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8"/>
    <w:bookmarkStart w:id="59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9"/>
    <w:bookmarkStart w:id="60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2025-12-09T13:14:21Z</dcterms:created>
  <dcterms:modified xsi:type="dcterms:W3CDTF">2025-12-09T13:14:21Z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