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6-8.DC.PRI</w:t>
      </w:r>
      <w:r>
        <w:t xml:space="preserve">: Privacy principles and protections</w:t>
      </w:r>
    </w:p>
    <w:p>
      <w:pPr>
        <w:pStyle w:val="Compact"/>
        <w:numPr>
          <w:ilvl w:val="0"/>
          <w:numId w:val="1002"/>
        </w:numPr>
      </w:pPr>
      <w:r>
        <w:rPr>
          <w:b/>
          <w:bCs/>
        </w:rPr>
        <w:t xml:space="preserve">6-8.SEC.POL</w:t>
      </w:r>
      <w:r>
        <w:t xml:space="preserve">: Security policy fundamentals</w:t>
      </w:r>
    </w:p>
    <w:p>
      <w:pPr>
        <w:pStyle w:val="Compact"/>
        <w:numPr>
          <w:ilvl w:val="0"/>
          <w:numId w:val="1002"/>
        </w:numPr>
      </w:pPr>
      <w:r>
        <w:rPr>
          <w:b/>
          <w:bCs/>
        </w:rPr>
        <w:t xml:space="preserve">6-8.DC.CIT</w:t>
      </w:r>
      <w:r>
        <w:t xml:space="preserve">: Digital citizenship responsibilities</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2025-12-08T17:30:02Z</dcterms:created>
  <dcterms:modified xsi:type="dcterms:W3CDTF">2025-12-08T17:30:02Z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