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These guides support implementation of the True Teamwork activities across the full spectrum of classroom technology resources.</w:t>
      </w:r>
    </w:p>
    <w:p>
      <w:pPr>
        <w:pStyle w:val="BodyText"/>
      </w:pPr>
      <w:r>
        <w:t xml:space="preserve">A key regarding the core learning outcome (understanding AI as a collaborative partner) does</w:t>
      </w:r>
      <w:r>
        <w:t xml:space="preserve"> </w:t>
      </w:r>
      <w:r>
        <w:rPr>
          <w:i/>
          <w:iCs/>
        </w:rPr>
        <w:t xml:space="preserve">not</w:t>
      </w:r>
      <w:r>
        <w:t xml:space="preserve"> </w:t>
      </w:r>
      <w:r>
        <w:t xml:space="preserve">require every student to have direct AI access. The framing matters more than the technology.</w:t>
      </w:r>
    </w:p>
    <w:bookmarkStart w:id="26" w:name="available-guides"/>
    <w:p>
      <w:pPr>
        <w:pStyle w:val="Heading2"/>
      </w:pPr>
      <w:r>
        <w:t xml:space="preserve">Available Guides</w:t>
      </w:r>
    </w:p>
    <w:bookmarkStart w:id="21"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0">
        <w:r>
          <w:rPr>
            <w:rStyle w:val="Hyperlink"/>
          </w:rPr>
          <w:t xml:space="preserve">View Quick Start Guide →</w:t>
        </w:r>
      </w:hyperlink>
    </w:p>
    <w:bookmarkEnd w:id="21"/>
    <w:bookmarkStart w:id="23"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2">
        <w:r>
          <w:rPr>
            <w:rStyle w:val="Hyperlink"/>
          </w:rPr>
          <w:t xml:space="preserve">View AI Setup Guide →</w:t>
        </w:r>
      </w:hyperlink>
    </w:p>
    <w:bookmarkEnd w:id="23"/>
    <w:bookmarkStart w:id="25"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Pre-Generated Response Cards, Rotation Stations, Homework Preparation, Think-Aloud Demonstration, and various hybrid combinations.</w:t>
      </w:r>
    </w:p>
    <w:p>
      <w:pPr>
        <w:pStyle w:val="BodyText"/>
      </w:pPr>
      <w:hyperlink r:id="rId24">
        <w:r>
          <w:rPr>
            <w:rStyle w:val="Hyperlink"/>
          </w:rPr>
          <w:t xml:space="preserve">View Low-Resource Guide →</w:t>
        </w:r>
      </w:hyperlink>
    </w:p>
    <w:bookmarkEnd w:id="25"/>
    <w:bookmarkEnd w:id="26"/>
    <w:bookmarkStart w:id="28" w:name="quick-decision-guide"/>
    <w:p>
      <w:pPr>
        <w:pStyle w:val="Heading2"/>
      </w:pPr>
      <w:r>
        <w:t xml:space="preserve">Quick Decision Guide</w:t>
      </w:r>
    </w:p>
    <w:tbl>
      <w:tblPr>
        <w:tblStyle w:val="Table"/>
        <w:tblW w:type="pct" w:w="5000"/>
        <w:tblLayout w:type="fixed"/>
        <w:tblLook w:firstRow="0" w:lastRow="0" w:firstColumn="0" w:lastColumn="0" w:noHBand="0" w:noVBand="0" w:val="0000"/>
      </w:tblPr>
      <w:tblGrid>
        <w:gridCol w:w="7920"/>
      </w:tblGrid>
      <w:tr>
        <w:tc>
          <w:tcPr/>
          <w:bookmarkStart w:id="27" w:name="tbl-quickdecisionguide"/>
          <w:p>
            <w:pPr>
              <w:jc w:val="center"/>
            </w:pPr>
            <w:pPr>
              <w:jc w:val="left"/>
              <w:spacing w:before="200"/>
              <w:pStyle w:val="ImageCaption"/>
            </w:pPr>
            <w:r>
              <w:t xml:space="preserve">Table 1: Quick Decision Guide</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jc w:val="left"/>
                    <w:jc w:val="center"/>
                  </w:pPr>
                  <w:r>
                    <w:t xml:space="preserve">You Have</w:t>
                  </w:r>
                </w:p>
              </w:tc>
              <w:tc>
                <w:tcPr/>
                <w:p>
                  <w:pPr>
                    <w:pStyle w:val="Compact"/>
                    <w:jc w:val="left"/>
                    <w:jc w:val="center"/>
                  </w:pPr>
                  <w:r>
                    <w:t xml:space="preserve">Recommended Approach</w:t>
                  </w:r>
                </w:p>
              </w:tc>
            </w:tr>
            <w:tr>
              <w:tc>
                <w:tcPr/>
                <w:p>
                  <w:pPr>
                    <w:pStyle w:val="Compact"/>
                    <w:jc w:val="left"/>
                    <w:jc w:val="center"/>
                  </w:pPr>
                  <w:r>
                    <w:t xml:space="preserve">1:1 devices, student AI accounts</w:t>
                  </w:r>
                </w:p>
              </w:tc>
              <w:tc>
                <w:tcPr/>
                <w:p>
                  <w:pPr>
                    <w:pStyle w:val="Compact"/>
                    <w:jc w:val="left"/>
                    <w:jc w:val="center"/>
                  </w:pPr>
                  <w:r>
                    <w:t xml:space="preserve">Students partner directly with AI</w:t>
                  </w:r>
                </w:p>
              </w:tc>
            </w:tr>
            <w:tr>
              <w:tc>
                <w:tcPr/>
                <w:p>
                  <w:pPr>
                    <w:pStyle w:val="Compact"/>
                    <w:jc w:val="left"/>
                    <w:jc w:val="center"/>
                  </w:pPr>
                  <w:r>
                    <w:t xml:space="preserve">Shared devices, class AI account</w:t>
                  </w:r>
                </w:p>
              </w:tc>
              <w:tc>
                <w:tcPr/>
                <w:p>
                  <w:pPr>
                    <w:pStyle w:val="Compact"/>
                    <w:jc w:val="left"/>
                    <w:jc w:val="center"/>
                  </w:pPr>
                  <w:r>
                    <w:t xml:space="preserve">Rotation stations + demonstrations</w:t>
                  </w:r>
                </w:p>
              </w:tc>
            </w:tr>
            <w:tr>
              <w:tc>
                <w:tcPr/>
                <w:p>
                  <w:pPr>
                    <w:pStyle w:val="Compact"/>
                    <w:jc w:val="left"/>
                    <w:jc w:val="center"/>
                  </w:pPr>
                  <w:r>
                    <w:t xml:space="preserve">1 teacher device, projector</w:t>
                  </w:r>
                </w:p>
              </w:tc>
              <w:tc>
                <w:tcPr/>
                <w:p>
                  <w:pPr>
                    <w:pStyle w:val="Compact"/>
                    <w:jc w:val="left"/>
                    <w:jc w:val="center"/>
                  </w:pPr>
                  <w:r>
                    <w:t xml:space="preserve">Think-Aloud Demonstration</w:t>
                  </w:r>
                </w:p>
              </w:tc>
            </w:tr>
            <w:tr>
              <w:tc>
                <w:tcPr/>
                <w:p>
                  <w:pPr>
                    <w:pStyle w:val="Compact"/>
                    <w:jc w:val="left"/>
                    <w:jc w:val="center"/>
                  </w:pPr>
                  <w:r>
                    <w:t xml:space="preserve">Home access, no school access</w:t>
                  </w:r>
                </w:p>
              </w:tc>
              <w:tc>
                <w:tcPr/>
                <w:p>
                  <w:pPr>
                    <w:pStyle w:val="Compact"/>
                    <w:jc w:val="left"/>
                    <w:jc w:val="center"/>
                  </w:pPr>
                  <w:r>
                    <w:t xml:space="preserve">Homework Preparation + Class Synthesis</w:t>
                  </w:r>
                </w:p>
              </w:tc>
            </w:tr>
            <w:tr>
              <w:tc>
                <w:tcPr/>
                <w:p>
                  <w:pPr>
                    <w:pStyle w:val="Compact"/>
                    <w:jc w:val="left"/>
                    <w:jc w:val="center"/>
                  </w:pPr>
                  <w:r>
                    <w:t xml:space="preserve">No devices or AI available</w:t>
                  </w:r>
                </w:p>
              </w:tc>
              <w:tc>
                <w:tcPr/>
                <w:p>
                  <w:pPr>
                    <w:pStyle w:val="Compact"/>
                    <w:jc w:val="left"/>
                    <w:jc w:val="center"/>
                  </w:pPr>
                  <w:r>
                    <w:t xml:space="preserve">Pre-generated response cards, teacher role-play</w:t>
                  </w:r>
                </w:p>
              </w:tc>
            </w:tr>
          </w:tbl>
          <w:bookmarkEnd w:id="27"/>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2025-12-08T17:37:02Z</dcterms:created>
  <dcterms:modified xsi:type="dcterms:W3CDTF">2025-12-08T17:37:02Z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