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pre-generated-response-cards"/>
    <w:p>
      <w:pPr>
        <w:pStyle w:val="Heading2"/>
      </w:pPr>
      <w:r>
        <w:t xml:space="preserve">Strategy 1: Pre-Generated Response Cards</w:t>
      </w:r>
    </w:p>
    <w:p>
      <w:pPr>
        <w:pStyle w:val="FirstParagraph"/>
      </w:pPr>
      <w:r>
        <w:rPr>
          <w:b/>
          <w:bCs/>
        </w:rPr>
        <w:t xml:space="preserve">Best for</w:t>
      </w:r>
      <w:r>
        <w:t xml:space="preserve">: Classrooms with no live AI access available</w:t>
      </w:r>
    </w:p>
    <w:bookmarkStart w:id="21" w:name="how-it-works"/>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1"/>
    <w:bookmarkStart w:id="22"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2"/>
    <w:bookmarkStart w:id="23"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3"/>
    <w:bookmarkStart w:id="24"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4"/>
    <w:bookmarkEnd w:id="25"/>
    <w:bookmarkStart w:id="29" w:name="strategy-2-rotation-station"/>
    <w:p>
      <w:pPr>
        <w:pStyle w:val="Heading2"/>
      </w:pPr>
      <w:r>
        <w:t xml:space="preserve">Strategy 2: Rotation Station</w:t>
      </w:r>
    </w:p>
    <w:p>
      <w:pPr>
        <w:pStyle w:val="FirstParagraph"/>
      </w:pPr>
      <w:r>
        <w:rPr>
          <w:b/>
          <w:bCs/>
        </w:rPr>
        <w:t xml:space="preserve">Best for</w:t>
      </w:r>
      <w:r>
        <w:t xml:space="preserve">: Classrooms with limited devices (1-3 devices for a class of 20-30)</w:t>
      </w:r>
    </w:p>
    <w:bookmarkStart w:id="26" w:name="how-it-works-1"/>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26"/>
    <w:bookmarkStart w:id="27"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27"/>
    <w:bookmarkStart w:id="28"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28"/>
    <w:bookmarkEnd w:id="29"/>
    <w:bookmarkStart w:id="33" w:name="strategy-3-homework-preparation"/>
    <w:p>
      <w:pPr>
        <w:pStyle w:val="Heading2"/>
      </w:pPr>
      <w:r>
        <w:t xml:space="preserve">Strategy 3: Homework Preparation</w:t>
      </w:r>
    </w:p>
    <w:p>
      <w:pPr>
        <w:pStyle w:val="FirstParagraph"/>
      </w:pPr>
      <w:r>
        <w:rPr>
          <w:b/>
          <w:bCs/>
        </w:rPr>
        <w:t xml:space="preserve">Best for</w:t>
      </w:r>
      <w:r>
        <w:t xml:space="preserve">: Students who have home AI access but no access at school</w:t>
      </w:r>
    </w:p>
    <w:bookmarkStart w:id="30" w:name="how-it-works-2"/>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0"/>
    <w:bookmarkStart w:id="31"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1"/>
    <w:bookmarkStart w:id="32"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2"/>
    <w:bookmarkEnd w:id="33"/>
    <w:bookmarkStart w:id="37" w:name="strategy-4-think-aloud-demonstration"/>
    <w:p>
      <w:pPr>
        <w:pStyle w:val="Heading2"/>
      </w:pPr>
      <w:r>
        <w:t xml:space="preserve">Strategy 4: Think-Aloud Demonstration</w:t>
      </w:r>
    </w:p>
    <w:p>
      <w:pPr>
        <w:pStyle w:val="FirstParagraph"/>
      </w:pPr>
      <w:r>
        <w:rPr>
          <w:b/>
          <w:bCs/>
        </w:rPr>
        <w:t xml:space="preserve">Best for</w:t>
      </w:r>
      <w:r>
        <w:t xml:space="preserve">: Situations where one AI interaction serves the whole class</w:t>
      </w:r>
    </w:p>
    <w:bookmarkStart w:id="34" w:name="how-it-works-3"/>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4"/>
    <w:bookmarkStart w:id="35"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35"/>
    <w:bookmarkStart w:id="36"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36"/>
    <w:bookmarkEnd w:id="37"/>
    <w:bookmarkStart w:id="41" w:name="hybrid-approaches"/>
    <w:p>
      <w:pPr>
        <w:pStyle w:val="Heading2"/>
      </w:pPr>
      <w:r>
        <w:t xml:space="preserve">Hybrid Approaches</w:t>
      </w:r>
    </w:p>
    <w:p>
      <w:pPr>
        <w:pStyle w:val="FirstParagraph"/>
      </w:pPr>
      <w:r>
        <w:t xml:space="preserve">Different resource situations call for different combinations of strategies. Use this decision tree to find your recommended approach:</w:t>
      </w:r>
    </w:p>
    <w:p>
      <w:pPr>
        <w:pStyle w:val="BodyText"/>
      </w:pPr>
    </w:p>
    <w:p>
      <w:pPr>
        <w:pStyle w:val="BodyText"/>
      </w:pPr>
      <w:r>
        <w:drawing>
          <wp:inline>
            <wp:extent cx="5334000" cy="2358813"/>
            <wp:effectExtent b="0" l="0" r="0" t="0"/>
            <wp:docPr descr="" title="" id="39" name="Picture"/>
            <a:graphic>
              <a:graphicData uri="http://schemas.openxmlformats.org/drawingml/2006/picture">
                <pic:pic>
                  <pic:nvPicPr>
                    <pic:cNvPr descr="low-resource-implementation_files\figure-docx\mermaid-figure-2.png" id="40" name="Picture"/>
                    <pic:cNvPicPr>
                      <a:picLocks noChangeArrowheads="1" noChangeAspect="1"/>
                    </pic:cNvPicPr>
                  </pic:nvPicPr>
                  <pic:blipFill>
                    <a:blip r:embed="rId38"/>
                    <a:stretch>
                      <a:fillRect/>
                    </a:stretch>
                  </pic:blipFill>
                  <pic:spPr bwMode="auto">
                    <a:xfrm>
                      <a:off x="0" y="0"/>
                      <a:ext cx="5334000" cy="2358813"/>
                    </a:xfrm>
                    <a:prstGeom prst="rect">
                      <a:avLst/>
                    </a:prstGeom>
                    <a:noFill/>
                    <a:ln w="9525">
                      <a:noFill/>
                      <a:headEnd/>
                      <a:tailEnd/>
                    </a:ln>
                  </pic:spPr>
                </pic:pic>
              </a:graphicData>
            </a:graphic>
          </wp:inline>
        </w:drawing>
      </w:r>
    </w:p>
    <w:p>
      <w:pPr>
        <w:pStyle w:val="BodyText"/>
      </w:pP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at all</w:t>
            </w:r>
          </w:p>
        </w:tc>
        <w:tc>
          <w:tcPr/>
          <w:p>
            <w:pPr>
              <w:pStyle w:val="Compact"/>
            </w:pPr>
            <w:r>
              <w:t xml:space="preserve">Pre-Generated Response Cards + Think-Aloud Demo</w:t>
            </w:r>
          </w:p>
        </w:tc>
      </w:tr>
    </w:tbl>
    <w:bookmarkEnd w:id="41"/>
    <w:bookmarkStart w:id="49" w:name="key-pedagogical-points"/>
    <w:p>
      <w:pPr>
        <w:pStyle w:val="Heading2"/>
      </w:pPr>
      <w:r>
        <w:t xml:space="preserve">Key Pedagogical Points</w:t>
      </w:r>
    </w:p>
    <w:bookmarkStart w:id="42"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2"/>
    <w:bookmarkStart w:id="43"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3"/>
    <w:bookmarkStart w:id="48"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ryan\AppData\Local\Programs\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47">
              <w:r>
                <w:rPr>
                  <w:rStyle w:val="Hyperlink"/>
                </w:rPr>
                <w:t xml:space="preserve">Explore the research →</w:t>
              </w:r>
            </w:hyperlink>
          </w:p>
          <w:p/>
        </w:tc>
      </w:tr>
    </w:tbl>
    <w:bookmarkEnd w:id="48"/>
    <w:bookmarkEnd w:id="49"/>
    <w:bookmarkStart w:id="50"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0"/>
    <w:bookmarkStart w:id="54" w:name="adapting-specific-activities"/>
    <w:p>
      <w:pPr>
        <w:pStyle w:val="Heading2"/>
      </w:pPr>
      <w:r>
        <w:t xml:space="preserve">Adapting Specific Activities</w:t>
      </w:r>
    </w:p>
    <w:bookmarkStart w:id="51"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AI Response Cards with pre-generated AI analysis for each evidence type, and a Student Worksheet providing structured investigation recording. These materials are available in the printables directory.</w:t>
      </w:r>
    </w:p>
    <w:bookmarkEnd w:id="51"/>
    <w:bookmarkStart w:id="52"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 These materials are available in the printables directory.</w:t>
      </w:r>
    </w:p>
    <w:bookmarkEnd w:id="52"/>
    <w:bookmarkStart w:id="53"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 These materials are available in the printables directory.</w:t>
      </w:r>
    </w:p>
    <w:bookmarkEnd w:id="53"/>
    <w:bookmarkEnd w:id="54"/>
    <w:bookmarkStart w:id="58"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Pre-Generated Cards + Think-Aloud Demo</w:t>
            </w:r>
          </w:p>
        </w:tc>
        <w:tc>
          <w:tcPr/>
          <w:p>
            <w:pPr>
              <w:pStyle w:val="Compact"/>
            </w:pPr>
            <w:r>
              <w:t xml:space="preserve">Concrete materials support emerging readers while teacher demonstration models partnership thinking</w:t>
            </w:r>
          </w:p>
        </w:tc>
      </w:tr>
      <w:tr>
        <w:tc>
          <w:tcPr/>
          <w:p>
            <w:pPr>
              <w:pStyle w:val="Compact"/>
            </w:pPr>
            <w:r>
              <w:t xml:space="preserve">3-5</w:t>
            </w:r>
          </w:p>
        </w:tc>
        <w:tc>
          <w:tcPr/>
          <w:p>
            <w:pPr>
              <w:pStyle w:val="Compact"/>
            </w:pPr>
            <w:r>
              <w:t xml:space="preserve">Pre-Generated Cards + Think-Aloud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ryan\AppData\Local\Programs\Quarto\share\formats\docx\tip.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Think-Aloud Demonstration.</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58"/>
    <w:bookmarkStart w:id="59"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38" Target="media/rId38.png" /><Relationship Type="http://schemas.openxmlformats.org/officeDocument/2006/relationships/hyperlink" Id="rId47"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7"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2025-12-08T17:37:23Z</dcterms:created>
  <dcterms:modified xsi:type="dcterms:W3CDTF">2025-12-08T17:37:23Z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