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t xml:space="preserve">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43" w:name="the-three-activities"/>
    <w:p>
      <w:pPr>
        <w:pStyle w:val="Heading2"/>
      </w:pPr>
      <w:r>
        <w:t xml:space="preserve">The Three Activities</w:t>
      </w:r>
    </w:p>
    <w:p>
      <w:pPr>
        <w:pStyle w:val="FirstParagraph"/>
      </w:pPr>
      <w:r>
        <w:t xml:space="preserve">For the NICE K12 Cybersecurity Education Conference, we developed three concrete activities to demonstrate this approach. Each includes variations for different gradebands. Each activity comes with complete lesson plans, student materials, assessment rubrics, and strategies for classrooms with limited technology access.</w:t>
      </w:r>
    </w:p>
    <w:tbl>
      <w:tblPr>
        <w:tblStyle w:val="Table"/>
        <w:tblW w:type="pct" w:w="5000"/>
        <w:tblLayout w:type="fixed"/>
        <w:tblLook w:firstRow="0" w:lastRow="0" w:firstColumn="0" w:lastColumn="0" w:noHBand="0" w:noVBand="0" w:val="0000"/>
      </w:tblPr>
      <w:tblGrid>
        <w:gridCol w:w="7920"/>
      </w:tblGrid>
      <w:tr>
        <w:tc>
          <w:tcPr/>
          <w:bookmarkStart w:id="41" w:name="tbl-activitybreakdown"/>
          <w:p>
            <w:pPr>
              <w:jc w:val="center"/>
            </w:pPr>
            <w:pPr>
              <w:jc w:val="left"/>
              <w:spacing w:before="200"/>
              <w:pStyle w:val="ImageCaption"/>
            </w:pPr>
            <w:r>
              <w:t xml:space="preserve">Table 1: Activity Breakdown</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jc w:val="center"/>
                  </w:pPr>
                  <w:r>
                    <w:t xml:space="preserve">Activity</w:t>
                  </w:r>
                </w:p>
              </w:tc>
              <w:tc>
                <w:tcPr/>
                <w:p>
                  <w:pPr>
                    <w:pStyle w:val="Compact"/>
                    <w:jc w:val="left"/>
                    <w:jc w:val="center"/>
                  </w:pPr>
                  <w:r>
                    <w:t xml:space="preserve">Focus</w:t>
                  </w:r>
                </w:p>
              </w:tc>
              <w:tc>
                <w:tcPr/>
                <w:p>
                  <w:pPr>
                    <w:pStyle w:val="Compact"/>
                    <w:jc w:val="left"/>
                    <w:jc w:val="center"/>
                  </w:pPr>
                  <w:r>
                    <w:t xml:space="preserve">Grade Bands</w:t>
                  </w:r>
                </w:p>
              </w:tc>
            </w:tr>
            <w:tr>
              <w:tc>
                <w:tcPr/>
                <w:p>
                  <w:pPr>
                    <w:pStyle w:val="Compact"/>
                    <w:jc w:val="left"/>
                    <w:jc w:val="center"/>
                  </w:pPr>
                  <w:hyperlink r:id="rId26">
                    <w:r>
                      <w:rPr>
                        <w:rStyle w:val="Hyperlink"/>
                        <w:b/>
                        <w:bCs/>
                      </w:rPr>
                      <w:t xml:space="preserve">1. Security Detective Teams</w:t>
                    </w:r>
                  </w:hyperlink>
                </w:p>
              </w:tc>
              <w:tc>
                <w:tcPr/>
                <w:p>
                  <w:pPr>
                    <w:pStyle w:val="Compact"/>
                    <w:jc w:val="left"/>
                    <w:jc w:val="center"/>
                  </w:pPr>
                  <w:r>
                    <w:t xml:space="preserve">Combining AI pattern recognition with human contextual insight</w:t>
                  </w:r>
                </w:p>
              </w:tc>
              <w:tc>
                <w:tcPr/>
                <w:p>
                  <w:pPr>
                    <w:pStyle w:val="Compact"/>
                    <w:jc w:val="left"/>
                    <w:jc w:val="center"/>
                  </w:pPr>
                  <w:hyperlink r:id="rId27">
                    <w:r>
                      <w:rPr>
                        <w:rStyle w:val="Hyperlink"/>
                      </w:rPr>
                      <w:t xml:space="preserve">K-2</w:t>
                    </w:r>
                  </w:hyperlink>
                  <w:r>
                    <w:t xml:space="preserve">,</w:t>
                  </w:r>
                  <w:r>
                    <w:t xml:space="preserve"> </w:t>
                  </w:r>
                  <w:hyperlink r:id="rId28">
                    <w:r>
                      <w:rPr>
                        <w:rStyle w:val="Hyperlink"/>
                      </w:rPr>
                      <w:t xml:space="preserve">3-5</w:t>
                    </w:r>
                  </w:hyperlink>
                  <w:r>
                    <w:t xml:space="preserve">,</w:t>
                  </w:r>
                  <w:r>
                    <w:t xml:space="preserve"> </w:t>
                  </w:r>
                  <w:hyperlink r:id="rId29">
                    <w:r>
                      <w:rPr>
                        <w:rStyle w:val="Hyperlink"/>
                      </w:rPr>
                      <w:t xml:space="preserve">6-8</w:t>
                    </w:r>
                  </w:hyperlink>
                  <w:r>
                    <w:t xml:space="preserve">,</w:t>
                  </w:r>
                  <w:r>
                    <w:t xml:space="preserve"> </w:t>
                  </w:r>
                  <w:hyperlink r:id="rId30">
                    <w:r>
                      <w:rPr>
                        <w:rStyle w:val="Hyperlink"/>
                      </w:rPr>
                      <w:t xml:space="preserve">9-12</w:t>
                    </w:r>
                  </w:hyperlink>
                </w:p>
              </w:tc>
            </w:tr>
            <w:tr>
              <w:tc>
                <w:tcPr/>
                <w:p>
                  <w:pPr>
                    <w:pStyle w:val="Compact"/>
                    <w:jc w:val="left"/>
                    <w:jc w:val="center"/>
                  </w:pPr>
                  <w:hyperlink r:id="rId31">
                    <w:r>
                      <w:rPr>
                        <w:rStyle w:val="Hyperlink"/>
                        <w:b/>
                        <w:bCs/>
                      </w:rPr>
                      <w:t xml:space="preserve">2. Ethics in Automated Security</w:t>
                    </w:r>
                  </w:hyperlink>
                </w:p>
              </w:tc>
              <w:tc>
                <w:tcPr/>
                <w:p>
                  <w:pPr>
                    <w:pStyle w:val="Compact"/>
                    <w:jc w:val="left"/>
                    <w:jc w:val="center"/>
                  </w:pPr>
                  <w:r>
                    <w:t xml:space="preserve">Developing governance frameworks for AI security systems</w:t>
                  </w:r>
                </w:p>
              </w:tc>
              <w:tc>
                <w:tcPr/>
                <w:p>
                  <w:pPr>
                    <w:pStyle w:val="Compact"/>
                    <w:jc w:val="left"/>
                    <w:jc w:val="center"/>
                  </w:pPr>
                  <w:hyperlink r:id="rId32">
                    <w:r>
                      <w:rPr>
                        <w:rStyle w:val="Hyperlink"/>
                      </w:rPr>
                      <w:t xml:space="preserve">K-2</w:t>
                    </w:r>
                  </w:hyperlink>
                  <w:r>
                    <w:t xml:space="preserve">,</w:t>
                  </w:r>
                  <w:r>
                    <w:t xml:space="preserve"> </w:t>
                  </w:r>
                  <w:hyperlink r:id="rId33">
                    <w:r>
                      <w:rPr>
                        <w:rStyle w:val="Hyperlink"/>
                      </w:rPr>
                      <w:t xml:space="preserve">3-5</w:t>
                    </w:r>
                  </w:hyperlink>
                  <w:r>
                    <w:t xml:space="preserve">,</w:t>
                  </w:r>
                  <w:r>
                    <w:t xml:space="preserve"> </w:t>
                  </w:r>
                  <w:hyperlink r:id="rId34">
                    <w:r>
                      <w:rPr>
                        <w:rStyle w:val="Hyperlink"/>
                      </w:rPr>
                      <w:t xml:space="preserve">6-8</w:t>
                    </w:r>
                  </w:hyperlink>
                  <w:r>
                    <w:t xml:space="preserve">,</w:t>
                  </w:r>
                  <w:r>
                    <w:t xml:space="preserve"> </w:t>
                  </w:r>
                  <w:hyperlink r:id="rId35">
                    <w:r>
                      <w:rPr>
                        <w:rStyle w:val="Hyperlink"/>
                      </w:rPr>
                      <w:t xml:space="preserve">9-12</w:t>
                    </w:r>
                  </w:hyperlink>
                </w:p>
              </w:tc>
            </w:tr>
            <w:tr>
              <w:tc>
                <w:tcPr/>
                <w:p>
                  <w:pPr>
                    <w:pStyle w:val="Compact"/>
                    <w:jc w:val="left"/>
                    <w:jc w:val="center"/>
                  </w:pPr>
                  <w:hyperlink r:id="rId36">
                    <w:r>
                      <w:rPr>
                        <w:rStyle w:val="Hyperlink"/>
                        <w:b/>
                        <w:bCs/>
                      </w:rPr>
                      <w:t xml:space="preserve">3. AI-Assisted Incident Response</w:t>
                    </w:r>
                  </w:hyperlink>
                </w:p>
              </w:tc>
              <w:tc>
                <w:tcPr/>
                <w:p>
                  <w:pPr>
                    <w:pStyle w:val="Compact"/>
                    <w:jc w:val="left"/>
                    <w:jc w:val="center"/>
                  </w:pPr>
                  <w:r>
                    <w:t xml:space="preserve">Coordinating team roles alongside AI under time pressure</w:t>
                  </w:r>
                </w:p>
              </w:tc>
              <w:tc>
                <w:tcPr/>
                <w:p>
                  <w:pPr>
                    <w:pStyle w:val="Compact"/>
                    <w:jc w:val="left"/>
                    <w:jc w:val="center"/>
                  </w:pPr>
                  <w:hyperlink r:id="rId37">
                    <w:r>
                      <w:rPr>
                        <w:rStyle w:val="Hyperlink"/>
                      </w:rPr>
                      <w:t xml:space="preserve">K-2</w:t>
                    </w:r>
                  </w:hyperlink>
                  <w:r>
                    <w:t xml:space="preserve">,</w:t>
                  </w:r>
                  <w:r>
                    <w:t xml:space="preserve"> </w:t>
                  </w:r>
                  <w:hyperlink r:id="rId38">
                    <w:r>
                      <w:rPr>
                        <w:rStyle w:val="Hyperlink"/>
                      </w:rPr>
                      <w:t xml:space="preserve">3-5</w:t>
                    </w:r>
                  </w:hyperlink>
                  <w:r>
                    <w:t xml:space="preserve">,</w:t>
                  </w:r>
                  <w:r>
                    <w:t xml:space="preserve"> </w:t>
                  </w:r>
                  <w:hyperlink r:id="rId39">
                    <w:r>
                      <w:rPr>
                        <w:rStyle w:val="Hyperlink"/>
                      </w:rPr>
                      <w:t xml:space="preserve">6-8</w:t>
                    </w:r>
                  </w:hyperlink>
                  <w:r>
                    <w:t xml:space="preserve">,</w:t>
                  </w:r>
                  <w:r>
                    <w:t xml:space="preserve"> </w:t>
                  </w:r>
                  <w:hyperlink r:id="rId40">
                    <w:r>
                      <w:rPr>
                        <w:rStyle w:val="Hyperlink"/>
                      </w:rPr>
                      <w:t xml:space="preserve">9-12</w:t>
                    </w:r>
                  </w:hyperlink>
                </w:p>
              </w:tc>
            </w:tr>
          </w:tbl>
          <w:bookmarkEnd w:id="41"/>
          <w:p/>
        </w:tc>
      </w:tr>
    </w:tbl>
    <w:p>
      <w:pPr>
        <w:pStyle w:val="BodyText"/>
      </w:pPr>
      <w:hyperlink r:id="rId42">
        <w:r>
          <w:rPr>
            <w:rStyle w:val="Hyperlink"/>
          </w:rPr>
          <w:t xml:space="preserve">Browse All Activities →</w:t>
        </w:r>
      </w:hyperlink>
    </w:p>
    <w:p>
      <w:r>
        <w:pict>
          <v:rect style="width:0;height:1.5pt" o:hralign="center" o:hrstd="t" o:hr="t"/>
        </w:pict>
      </w:r>
    </w:p>
    <w:bookmarkEnd w:id="43"/>
    <w:bookmarkStart w:id="53" w:name="supporting-materials"/>
    <w:p>
      <w:pPr>
        <w:pStyle w:val="Heading2"/>
      </w:pPr>
      <w:r>
        <w:t xml:space="preserve">Supporting Materials</w:t>
      </w:r>
    </w:p>
    <w:bookmarkStart w:id="45"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44">
        <w:r>
          <w:rPr>
            <w:rStyle w:val="Hyperlink"/>
          </w:rPr>
          <w:t xml:space="preserve">View Assessments →</w:t>
        </w:r>
      </w:hyperlink>
    </w:p>
    <w:bookmarkEnd w:id="45"/>
    <w:bookmarkStart w:id="47"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46">
        <w:r>
          <w:rPr>
            <w:rStyle w:val="Hyperlink"/>
          </w:rPr>
          <w:t xml:space="preserve">View Guides →</w:t>
        </w:r>
      </w:hyperlink>
    </w:p>
    <w:bookmarkEnd w:id="47"/>
    <w:bookmarkStart w:id="49"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48">
        <w:r>
          <w:rPr>
            <w:rStyle w:val="Hyperlink"/>
          </w:rPr>
          <w:t xml:space="preserve">View Career Connections →</w:t>
        </w:r>
      </w:hyperlink>
    </w:p>
    <w:bookmarkEnd w:id="49"/>
    <w:bookmarkStart w:id="51"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50">
        <w:r>
          <w:rPr>
            <w:rStyle w:val="Hyperlink"/>
          </w:rPr>
          <w:t xml:space="preserve">View Printables →</w:t>
        </w:r>
      </w:hyperlink>
    </w:p>
    <w:bookmarkEnd w:id="51"/>
    <w:p>
      <w:pPr>
        <w:pStyle w:val="BodyText"/>
      </w:pPr>
      <w:r>
        <w:t xml:space="preserve">All materials are available as PDFs and editable DOCX files for offline use and classroom printing.</w:t>
      </w:r>
    </w:p>
    <w:p>
      <w:pPr>
        <w:pStyle w:val="BodyText"/>
      </w:pPr>
      <w:hyperlink r:id="rId52">
        <w:r>
          <w:rPr>
            <w:rStyle w:val="Hyperlink"/>
          </w:rPr>
          <w:t xml:space="preserve">Download All Materials →</w:t>
        </w:r>
      </w:hyperlink>
    </w:p>
    <w:p>
      <w:r>
        <w:pict>
          <v:rect style="width:0;height:1.5pt" o:hralign="center" o:hrstd="t" o:hr="t"/>
        </w:pict>
      </w:r>
    </w:p>
    <w:bookmarkEnd w:id="53"/>
    <w:bookmarkStart w:id="60" w:name="framework-alignment"/>
    <w:p>
      <w:pPr>
        <w:pStyle w:val="Heading2"/>
      </w:pPr>
      <w:r>
        <w:t xml:space="preserve">Framework Alignment</w:t>
      </w:r>
    </w:p>
    <w:p>
      <w:pPr>
        <w:pStyle w:val="FirstParagraph"/>
      </w:pPr>
      <w:r>
        <w:t xml:space="preserve">Every activity connects to</w:t>
      </w:r>
      <w:r>
        <w:t xml:space="preserve"> </w:t>
      </w:r>
      <w:hyperlink r:id="rId54">
        <w:r>
          <w:rPr>
            <w:rStyle w:val="Hyperlink"/>
          </w:rPr>
          <w:t xml:space="preserve">NICE Workforce Framework</w:t>
        </w:r>
      </w:hyperlink>
      <w:r>
        <w:t xml:space="preserve"> </w:t>
      </w:r>
      <w:r>
        <w:t xml:space="preserve">Work Roles and</w:t>
      </w:r>
      <w:r>
        <w:t xml:space="preserve"> </w:t>
      </w:r>
      <w:hyperlink r:id="rId55">
        <w:r>
          <w:rPr>
            <w:rStyle w:val="Hyperlink"/>
          </w:rPr>
          <w:t xml:space="preserve">CYBER.org K-12 Standards</w:t>
        </w:r>
      </w:hyperlink>
      <w:r>
        <w:t xml:space="preserve">. Individual activity pages provide specific alignment details.</w:t>
      </w:r>
    </w:p>
    <w:bookmarkStart w:id="56" w:name="for-cte-cybersecurity-programs"/>
    <w:p>
      <w:pPr>
        <w:pStyle w:val="Heading3"/>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hyperlink r:id="rId48">
              <w:r>
                <w:rPr>
                  <w:rStyle w:val="Hyperlink"/>
                </w:rPr>
                <w:t xml:space="preserve">One-page career connection handouts</w:t>
              </w:r>
            </w:hyperlink>
            <w:r>
              <w:t xml:space="preserve"> </w:t>
            </w:r>
            <w:r>
              <w:t xml:space="preserve">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w:t>
      </w:r>
      <w:r>
        <w:t xml:space="preserve"> </w:t>
      </w:r>
      <w:hyperlink r:id="rId30">
        <w:r>
          <w:rPr>
            <w:rStyle w:val="Hyperlink"/>
          </w:rPr>
          <w:t xml:space="preserve">9-12 versions</w:t>
        </w:r>
      </w:hyperlink>
      <w:r>
        <w:t xml:space="preserve"> </w:t>
      </w:r>
      <w:r>
        <w:t xml:space="preserve">provide technical depth appropriate for cybersecurity pathway courses, while</w:t>
      </w:r>
      <w:r>
        <w:t xml:space="preserve"> </w:t>
      </w:r>
      <w:hyperlink r:id="rId29">
        <w:r>
          <w:rPr>
            <w:rStyle w:val="Hyperlink"/>
          </w:rPr>
          <w:t xml:space="preserve">6-8 versions</w:t>
        </w:r>
      </w:hyperlink>
      <w:r>
        <w:t xml:space="preserve"> </w:t>
      </w:r>
      <w:r>
        <w:t xml:space="preserve">work well for exploratory CTE programs.</w:t>
      </w:r>
    </w:p>
    <w:bookmarkEnd w:id="56"/>
    <w:bookmarkStart w:id="58" w:name="for-outreach-programs"/>
    <w:p>
      <w:pPr>
        <w:pStyle w:val="Heading3"/>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w:t>
      </w:r>
      <w:r>
        <w:t xml:space="preserve"> </w:t>
      </w:r>
      <w:hyperlink r:id="rId57">
        <w:r>
          <w:rPr>
            <w:rStyle w:val="Hyperlink"/>
          </w:rPr>
          <w:t xml:space="preserve">Low-resource options</w:t>
        </w:r>
      </w:hyperlink>
      <w:r>
        <w:t xml:space="preserve"> </w:t>
      </w:r>
      <w:r>
        <w:t xml:space="preserve">mean any partner school can participate</w:t>
      </w:r>
    </w:p>
    <w:p>
      <w:pPr>
        <w:pStyle w:val="Compact"/>
        <w:numPr>
          <w:ilvl w:val="0"/>
          <w:numId w:val="1001"/>
        </w:numPr>
      </w:pPr>
      <w:r>
        <w:rPr>
          <w:b/>
          <w:bCs/>
        </w:rPr>
        <w:t xml:space="preserve">Assessment-ready</w:t>
      </w:r>
      <w:r>
        <w:t xml:space="preserve"> </w:t>
      </w:r>
      <w:r>
        <w:t xml:space="preserve">—</w:t>
      </w:r>
      <w:r>
        <w:t xml:space="preserve"> </w:t>
      </w:r>
      <w:hyperlink r:id="rId44">
        <w:r>
          <w:rPr>
            <w:rStyle w:val="Hyperlink"/>
          </w:rPr>
          <w:t xml:space="preserve">Rubrics</w:t>
        </w:r>
      </w:hyperlink>
      <w:r>
        <w:t xml:space="preserve"> </w:t>
      </w:r>
      <w:r>
        <w:t xml:space="preserve">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58"/>
    <w:bookmarkStart w:id="59" w:name="steam-integration"/>
    <w:p>
      <w:pPr>
        <w:pStyle w:val="Heading3"/>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59"/>
    <w:bookmarkEnd w:id="60"/>
    <w:bookmarkStart w:id="67"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61">
        <w:r>
          <w:rPr>
            <w:rStyle w:val="Hyperlink"/>
          </w:rPr>
          <w:t xml:space="preserve">ryanstraight@arizona.edu</w:t>
        </w:r>
      </w:hyperlink>
      <w:r>
        <w:br/>
      </w:r>
      <w:r>
        <w:rPr>
          <w:b/>
          <w:bCs/>
        </w:rPr>
        <w:t xml:space="preserve">ORCID</w:t>
      </w:r>
      <w:r>
        <w:t xml:space="preserve">:</w:t>
      </w:r>
      <w:r>
        <w:t xml:space="preserve"> </w:t>
      </w:r>
      <w:hyperlink r:id="rId62">
        <w:r>
          <w:rPr>
            <w:rStyle w:val="Hyperlink"/>
          </w:rPr>
          <w:t xml:space="preserve">0000-0002-6251-5662</w:t>
        </w:r>
      </w:hyperlink>
    </w:p>
    <w:p>
      <w:pPr>
        <w:pStyle w:val="BodyText"/>
      </w:pPr>
      <w:hyperlink r:id="rId63">
        <w:r>
          <w:rPr>
            <w:rStyle w:val="Hyperlink"/>
          </w:rPr>
          <w:t xml:space="preserve">Learn More →</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ryan\AppData\Local\Programs\Quarto\share\formats\docx\tip.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7">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2025-12-08T17:38:04Z</dcterms:created>
  <dcterms:modified xsi:type="dcterms:W3CDTF">2025-12-08T17:38:04Z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