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From Persons to Families to Organizations: A Cross-Level CAS Foundation for Brief Health Screening</w:t>
      </w:r>
    </w:p>
    <w:p>
      <w:pPr>
        <w:spacing w:after="260"/>
        <w:jc w:val="center"/>
      </w:pPr>
      <w:r>
        <w:rPr>
          <w:i/>
          <w:iCs/>
          <w:sz w:val="22"/>
          <w:szCs w:val="22"/>
        </w:rPr>
        <w:t xml:space="preserve">Argument brief for advisor review — Ryan Carr — June 11, 2026</w:t>
      </w:r>
    </w:p>
    <w:p>
      <w:pPr>
        <w:spacing w:after="140" w:line="276" w:lineRule="auto"/>
      </w:pPr>
      <w:r>
        <w:rPr>
          <w:b/>
          <w:bCs/>
        </w:rPr>
        <w:t xml:space="preserve">Status: </w:t>
      </w:r>
      <w:r>
        <w:t xml:space="preserve">Full draft complete (~11,600 words; 36 pp). Stress-tested once against a pre-submission review by GPT-5.5 Pro prompted as an adversarial reviewer; each major concern addressed point by point. Paper 2 of 6 in the practicum publication sequence — the expanded theory paper following the published WSRC 2025 framework paper.</w:t>
      </w:r>
    </w:p>
    <w:p>
      <w:pPr>
        <w:spacing w:after="140" w:line="276" w:lineRule="auto"/>
      </w:pPr>
      <w:r>
        <w:rPr>
          <w:b/>
          <w:bCs/>
        </w:rPr>
        <w:t xml:space="preserve">Candidate venues: </w:t>
      </w:r>
      <w:r>
        <w:t xml:space="preserve">Systems Research and Behavioral Science (primary); Systems Engineering (Wiley) (alternative); INCOSE conference cut-down (fallback). Not yet committed — question 2 below.</w:t>
      </w:r>
    </w:p>
    <w:p>
      <w:pPr>
        <w:spacing w:after="140" w:line="276" w:lineRule="auto"/>
      </w:pPr>
      <w:r>
        <w:rPr>
          <w:b/>
          <w:bCs/>
        </w:rPr>
        <w:t xml:space="preserve">How to read this brief: </w:t>
      </w:r>
      <w:r>
        <w:t xml:space="preserve">A self-contained walkthrough of the paper’s argument — roughly a fifteen-minute read, in place of the full draft. It follows the argument in the order the paper makes it, with the reasoning behind each contested move stated rather than summarized, so you can locate exactly where you agree or disagree. Measurement and clinical terms are introduced in plain language as they appear; the only background assumed is systems and complex adaptive systems. Draft section numbers (§) are included for reference, and the five decisions where I most need your judgment are collected at the end.</w:t>
      </w:r>
    </w:p>
    <w:p>
      <w:pPr>
        <w:pBdr>
          <w:bottom w:val="single" w:color="999999" w:sz="6" w:space="1"/>
        </w:pBdr>
        <w:spacing w:after="240"/>
      </w:pPr>
    </w:p>
    <w:p>
      <w:pPr>
        <w:pStyle w:val="Heading1"/>
      </w:pPr>
      <w:r>
        <w:t xml:space="preserve">1.  The problem — and the objection the paper takes seriously (draft §1)</w:t>
      </w:r>
    </w:p>
    <w:p>
      <w:pPr>
        <w:spacing w:after="140" w:line="276" w:lineRule="auto"/>
      </w:pPr>
      <w:r>
        <w:rPr>
          <w:b/>
          <w:bCs/>
        </w:rPr>
        <w:t xml:space="preserve">The gap. </w:t>
      </w:r>
      <w:r>
        <w:t xml:space="preserve">Comprehensive organizational health assessments (McKinsey’s Organizational Health Index, the Denison survey) give rich multidimensional diagnosis but are too burdensome to administer routinely; pulse surveys and SE effectiveness metrics repeat easily but sample narrow slices of functioning. Between them there is nothing that does for an organization what routine condition monitoring does for a physical system: a brief, theoretically grounded, publicly documented screen, run on a cadence, that flags emerging degradation early enough to act on. The draft states the gap carefully — cited to the reviews that establish each side, and offered as “open to counterexample” rather than as a proven negative.</w:t>
      </w:r>
    </w:p>
    <w:p>
      <w:pPr>
        <w:spacing w:after="140" w:line="276" w:lineRule="auto"/>
      </w:pPr>
      <w:r>
        <w:rPr>
          <w:b/>
          <w:bCs/>
        </w:rPr>
        <w:t xml:space="preserve">The clinical precedent. </w:t>
      </w:r>
      <w:r>
        <w:t xml:space="preserve">Medicine solved the structurally similar problem. The PHQ-9 is a nine-question depression screen completed in under two minutes. It was validated against the comprehensive alternative — a full diagnostic interview administered by a trained clinician — and at its standard decision threshold it correctly flags 88% of true cases and correctly clears 88% of non-cases, figures sustained in later meta-analysis. The design intent matters: the brief form does not replace the comprehensive one; it determines who needs it — a quick-look screen that tells you when to order the full inspection. Our WSRC 2025 paper proposed the OHA — a six-domain, ~20-item screener for systems engineering organizations — on that model.</w:t>
      </w:r>
    </w:p>
    <w:p>
      <w:pPr>
        <w:spacing w:after="140" w:line="276" w:lineRule="auto"/>
      </w:pPr>
      <w:r>
        <w:rPr>
          <w:b/>
          <w:bCs/>
        </w:rPr>
        <w:t xml:space="preserve">The objection, stated at full strength. </w:t>
      </w:r>
      <w:r>
        <w:t xml:space="preserve">The paper opens with it rather than burying it. A person completing the PHQ-9 reports on their own internal state: the instrument, the respondent, and the system being assessed coincide in one bounded individual. An organization is none of those things — its health is an emergent property of interactions among many actors, and no single member observes it whole. The direct analogy therefore crosses two levels of analysis in a single step: from one actor to many, and from a person reporting on themselves to members reporting on a system each of them sees only partially. Taken alone, “organizations need a PHQ-9” overreaches, and a skeptical reviewer is entitled to say so. The paper’s wager is that the single leap is </w:t>
      </w:r>
      <w:r>
        <w:rPr>
          <w:i/>
          <w:iCs/>
        </w:rPr>
        <w:t xml:space="preserve">unnecessary</w:t>
      </w:r>
      <w:r>
        <w:t xml:space="preserve">, not that it is defensible as one step.</w:t>
      </w:r>
    </w:p>
    <w:p>
      <w:pPr>
        <w:pStyle w:val="Heading1"/>
      </w:pPr>
      <w:r>
        <w:t xml:space="preserve">2.  The central move: the intermediate level is already occupied (draft §§2–3)</w:t>
      </w:r>
    </w:p>
    <w:p>
      <w:pPr>
        <w:spacing w:after="140" w:line="276" w:lineRule="auto"/>
      </w:pPr>
      <w:r>
        <w:t xml:space="preserve">The leap decomposes into two single-level steps — person to family, family to organization — and the intermediate rung already holds everything the argument needs. Two facts carry the move. Both are facts </w:t>
      </w:r>
      <w:r>
        <w:rPr>
          <w:i/>
          <w:iCs/>
        </w:rPr>
        <w:t xml:space="preserve">about the family science literature</w:t>
      </w:r>
      <w:r>
        <w:t xml:space="preserve">, not interpretations imposed on it.</w:t>
      </w:r>
    </w:p>
    <w:p>
      <w:pPr>
        <w:spacing w:after="140" w:line="276" w:lineRule="auto"/>
      </w:pPr>
      <w:r>
        <w:rPr>
          <w:b/>
          <w:bCs/>
        </w:rPr>
        <w:t xml:space="preserve">First: family science derived the systems concepts independently, decades before complexity science named them. </w:t>
      </w:r>
      <w:r>
        <w:t xml:space="preserve">Jackson’s family homeostasis (1957) is an attractor state maintained by negative feedback; circular causality is mutual feedback; Watzlawick’s first- vs. second-order change is parameter change vs. regime shift; Minuchin’s subsystems and boundary permeability are modularity and coupling strength, with dysfunction at the over- and under-coupled extremes. The draft makes this correspondence term-by-term (Table 2). Treating persons, families, and organizations as three nested instantiations of complex adaptive systems is therefore a reading the family literature licenses on its own terms — not a metaphor stretched over it. The paper is equally disciplined about what an “X is a CAS” claim asserts: instantiation of a structural property set, nothing more; Table 1 establishes it property-by-property at all three levels.</w:t>
      </w:r>
    </w:p>
    <w:p>
      <w:pPr>
        <w:spacing w:after="140" w:line="276" w:lineRule="auto"/>
      </w:pPr>
      <w:r>
        <w:rPr>
          <w:b/>
          <w:bCs/>
        </w:rPr>
        <w:t xml:space="preserve">Second — the fact I consider the paper’s strongest: the brief-screening design pattern re-emerged at the family level independently. </w:t>
      </w:r>
      <w:r>
        <w:t xml:space="preserve">Family therapy built validated questionnaires for how well a family functions </w:t>
      </w:r>
      <w:r>
        <w:rPr>
          <w:i/>
          <w:iCs/>
        </w:rPr>
        <w:t xml:space="preserve">as a system</w:t>
      </w:r>
      <w:r>
        <w:t xml:space="preserve"> — a property of the whole, not of any member. The 60-item Family Assessment Device (FAD) contains a 12-item general-functioning subscale validated for standalone use as a short screen, and the SCORE-15 was deliberately distilled from a 40-item original so family members could complete it at every therapy session to track change. That is the same architecture as PHQ-9-versus-diagnostic-interview — a brief multidomain instrument validated against a comprehensive comparator within the same tradition, administered repeatedly to track trajectory — arrived at under harder conditions: the measured property is emergent, and every respondent sees the system only partially. And the FAD predates the PHQ-9 by eighteen years, so the family instance cannot be an imitation of the clinical one. The same functional pressures produced the same solution twice, independently.</w:t>
      </w:r>
    </w:p>
    <w:p>
      <w:pPr>
        <w:spacing w:after="140" w:line="276" w:lineRule="auto"/>
      </w:pPr>
      <w:r>
        <w:rPr>
          <w:b/>
          <w:bCs/>
        </w:rPr>
        <w:t xml:space="preserve">The inference, bounded. </w:t>
      </w:r>
      <w:r>
        <w:t xml:space="preserve">Two independent instances at adjacent CAS levels make a brief organizational screener the </w:t>
      </w:r>
      <w:r>
        <w:rPr>
          <w:i/>
          <w:iCs/>
        </w:rPr>
        <w:t xml:space="preserve">candidate third instance of an established measurement pattern</w:t>
      </w:r>
      <w:r>
        <w:t xml:space="preserve">, not a cross-domain metaphor. That shifts the burden of argument; it does not discharge it. Validity — the evidentiary case that an instrument measures what it claims and supports the decisions made from its scores — remains an organizational-level obligation, and the paper says so at every point where a reader might conclude otherwise.</w:t>
      </w:r>
    </w:p>
    <w:p>
      <w:pPr>
        <w:pStyle w:val="Heading1"/>
      </w:pPr>
      <w:r>
        <w:t xml:space="preserve">3.  Why families anchor the intermediate level — and not teams (draft §3.3)</w:t>
      </w:r>
    </w:p>
    <w:p>
      <w:pPr>
        <w:spacing w:after="140" w:line="276" w:lineRule="auto"/>
      </w:pPr>
      <w:r>
        <w:t xml:space="preserve">The natural objection: teams are multi-actor systems that live inside organizations — surely they are the intermediate level. The pre-review pressed exactly this, and the revised section answers with explicit criteria instead of intuitions. The intermediate rung has one job — supply validated precedent for the screening pattern — which unpacks into five requirements: (1) a genuinely system-level property, measured as such rather than as an average of individual attitudes; (2) multiple respondents per system, with disagreement between them treated as information about the system; (3) a brief instrument validated against a comprehensive one within the same tradition; (4) routine repeated administration with demonstrated ability to detect change; and (5) published reference data — score distributions, decision thresholds, well-replicated relationships — usable as known-answer targets for the simulation work later in the program.</w:t>
      </w:r>
    </w:p>
    <w:p>
      <w:pPr>
        <w:spacing w:after="140" w:line="276" w:lineRule="auto"/>
      </w:pPr>
      <w:r>
        <w:t xml:space="preserve">Team research genuinely supplies the first two, and the draft credits it: the practice of writing survey items about the collective (“this team…” rather than “I…”), with rules for when individual responses may be combined into a team score, was formalized in that literature, and validated team questionnaires exist — the Team Climate Inventory as a multidomain measure, the Team Diagnostic Survey as a comprehensive diagnostic. What the team literature does not contain is the screening pattern itself. There is no team analog of the FAD’s short form or the SCORE-15 — no brief, repeatable systemic screen validated against a fuller comparator and adopted for routine monitoring. Team measures also tend to be reinvented study by study, and where benchmark findings exist they are one-off research results rather than the accumulated reference data clinical instruments carry.</w:t>
      </w:r>
    </w:p>
    <w:p>
      <w:pPr>
        <w:spacing w:after="140" w:line="276" w:lineRule="auto"/>
      </w:pPr>
      <w:r>
        <w:rPr>
          <w:b/>
          <w:bCs/>
        </w:rPr>
        <w:t xml:space="preserve">Landing position: complementarity with a division of labor. </w:t>
      </w:r>
      <w:r>
        <w:t xml:space="preserve">Families anchor the screening pattern (criteria 3–5); team research contributes content for what to measure, work-setting context, and independent confirmation that asking members about the collective yields rigorous, repeatable measurement in organizations. Two softer points also favor the family anchor: the units the OHA targets — intact, persistent, shared-fate — resemble natural persistent systems more than ad hoc project groups; and family therapy’s “the system is the patient” stance is precisely the stance SE pathology and organizational health assessment take toward organizations.</w:t>
      </w:r>
    </w:p>
    <w:p>
      <w:pPr>
        <w:spacing w:after="140" w:line="276" w:lineRule="auto"/>
      </w:pPr>
      <w:r>
        <w:rPr>
          <w:i/>
          <w:iCs/>
        </w:rPr>
        <w:t xml:space="preserve">This is question 1 below: the section now concedes real ground to teams, which I believe strengthens it — but I want your judgment.</w:t>
      </w:r>
    </w:p>
    <w:p>
      <w:pPr>
        <w:pStyle w:val="Heading1"/>
      </w:pPr>
      <w:r>
        <w:t xml:space="preserve">4.  What transfers, and what never does (draft §3.4)</w:t>
      </w:r>
    </w:p>
    <w:p>
      <w:pPr>
        <w:spacing w:after="140" w:line="276" w:lineRule="auto"/>
      </w:pPr>
      <w:r>
        <w:t xml:space="preserve">One rule disciplines the entire transfer: a design element carries across levels exactly to the extent that the structural property motivating it is shared, and it adapts or fails where it depends on level-specific features. The draft classifies nine design elements (Table 4);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c>
          <w:tcPr>
            <w:tcW w:type="dxa" w:w="15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pPr>
              <w:spacing w:after="0"/>
            </w:pPr>
            <w:r>
              <w:rPr>
                <w:b/>
                <w:bCs/>
                <w:sz w:val="20"/>
                <w:szCs w:val="20"/>
              </w:rPr>
              <w:t xml:space="preserve">Status</w:t>
            </w:r>
          </w:p>
        </w:tc>
        <w:tc>
          <w:tcPr>
            <w:tcW w:type="dxa" w:w="370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pPr>
              <w:spacing w:after="0"/>
            </w:pPr>
            <w:r>
              <w:rPr>
                <w:b/>
                <w:bCs/>
                <w:sz w:val="20"/>
                <w:szCs w:val="20"/>
              </w:rPr>
              <w:t xml:space="preserve">Design elements</w:t>
            </w:r>
          </w:p>
        </w:tc>
        <w:tc>
          <w:tcPr>
            <w:tcW w:type="dxa" w:w="4160"/>
            <w:tcBorders>
              <w:top w:val="single" w:color="BBBBBB" w:sz="1"/>
              <w:left w:val="single" w:color="BBBBBB" w:sz="1"/>
              <w:bottom w:val="single" w:color="BBBBBB" w:sz="1"/>
              <w:right w:val="single" w:color="BBBBBB" w:sz="1"/>
            </w:tcBorders>
            <w:shd w:fill="E8EEF4" w:val="clear"/>
            <w:tcMar>
              <w:top w:type="dxa" w:w="80"/>
              <w:left w:type="dxa" w:w="120"/>
              <w:bottom w:type="dxa" w:w="80"/>
              <w:right w:type="dxa" w:w="120"/>
            </w:tcMar>
          </w:tcPr>
          <w:p>
            <w:pPr>
              <w:spacing w:after="0"/>
            </w:pPr>
            <w:r>
              <w:rPr>
                <w:b/>
                <w:bCs/>
                <w:sz w:val="20"/>
                <w:szCs w:val="20"/>
              </w:rPr>
              <w:t xml:space="preserve">Why</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Transfers intact</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Sampling a few items from every major domain; pairing a brief screen with a comprehensive assessment; a consistent low-burden response format; repeated administration (cadence re-derived at organizational timescales)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Motivated by emergence, dense coupling, and the burden–coverage trade-off of routine monitoring — properties all three levels share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Adapts</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Item wording (the subject shifts from “this family” to “this unit”); multi-respondent design (disagreement read as evidence)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Organizational respondents differ by role and power, not just by position in the system, so disagreement analysis must account for hierarchy and candor</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Never transfers</w:t>
            </w:r>
          </w:p>
        </w:tc>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Item content; reference data and decision thresholds; validity evidence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52" w:lineRule="auto"/>
            </w:pPr>
            <w:r>
              <w:rPr>
                <w:sz w:val="20"/>
                <w:szCs w:val="20"/>
              </w:rPr>
              <w:t xml:space="preserve">Content is level-specific; thresholds are empirical facts about a population; validity must be re-established at each level with that level’s data</w:t>
            </w:r>
          </w:p>
        </w:tc>
      </w:tr>
    </w:tbl>
    <w:p>
      <w:pPr>
        <w:spacing w:after="60"/>
      </w:pPr>
    </w:p>
    <w:p>
      <w:pPr>
        <w:spacing w:after="140" w:line="276" w:lineRule="auto"/>
      </w:pPr>
      <w:r>
        <w:t xml:space="preserve">The last row is the paper’s spine, repeated wherever a reader might inflate the claim. In V&amp;V terms: what transfers is design heritage, never qualification evidence. The FAD and SCORE are </w:t>
      </w:r>
      <w:r>
        <w:rPr>
          <w:i/>
          <w:iCs/>
        </w:rPr>
        <w:t xml:space="preserve">design precedents</w:t>
      </w:r>
      <w:r>
        <w:t xml:space="preserve"> for the OHA, not </w:t>
      </w:r>
      <w:r>
        <w:rPr>
          <w:i/>
          <w:iCs/>
        </w:rPr>
        <w:t xml:space="preserve">validators</w:t>
      </w:r>
      <w:r>
        <w:t xml:space="preserve"> of it, and the organizational instrument must qualify on organizational data.</w:t>
      </w:r>
    </w:p>
    <w:p>
      <w:pPr>
        <w:pStyle w:val="Heading1"/>
      </w:pPr>
      <w:r>
        <w:t xml:space="preserve">5.  The architecture the paper delivers (draft §4)</w:t>
      </w:r>
    </w:p>
    <w:p>
      <w:pPr>
        <w:spacing w:after="140" w:line="276" w:lineRule="auto"/>
      </w:pPr>
      <w:r>
        <w:rPr>
          <w:b/>
          <w:bCs/>
        </w:rPr>
        <w:t xml:space="preserve">A five-element abstraction. </w:t>
      </w:r>
      <w:r>
        <w:t xml:space="preserve">A screener never operates alone; it operates inside an assessment system: the instrument; the assessor(s) who complete it; the system under test; the generic system type (the theoretical model of the system class, including its diagnostic taxonomy); and the stakeholders who act on results. Instantiating all five at the three levels (Table 5) converts the vague question — does screening transfer? — into five precise ones, and shows where the difficulty actually lives.</w:t>
      </w:r>
    </w:p>
    <w:p>
      <w:pPr>
        <w:spacing w:after="140" w:line="276" w:lineRule="auto"/>
      </w:pPr>
      <w:r>
        <w:rPr>
          <w:b/>
          <w:bCs/>
        </w:rPr>
        <w:t xml:space="preserve">The decomposition payoff. </w:t>
      </w:r>
      <w:r>
        <w:t xml:space="preserve">The measurement-theoretically hard adjustments all enter at the person→family boundary: the assessor multiplies, the measured property becomes emergent and relational, and items shift from self-report to system-report. Family assessment has already made those adjustments, with validated results. What the family→organization boundary adds — scale and nesting, role stratification and power, designed-purposive structure — is covered by established organizational measurement machinery, each piece of which has a plain reading: responses are averaged into a unit-level score only after within-unit agreement is checked statistically; the spread of responses within a unit is treated as a measurement in its own right (frontline and leadership disagreeing about process discipline is a finding, not noise); the instrument is checked for behaving the same way across respondent groups before their scores are compared; and candor is analyzed by role, because willingness to report problems varies with how safe people feel doing so.</w:t>
      </w:r>
    </w:p>
    <w:p>
      <w:pPr>
        <w:spacing w:after="140" w:line="276" w:lineRule="auto"/>
      </w:pPr>
      <w:r>
        <w:rPr>
          <w:b/>
          <w:bCs/>
        </w:rPr>
        <w:t xml:space="preserve">Stated explicitly: </w:t>
      </w:r>
      <w:r>
        <w:t xml:space="preserve">every measurement operation the OHA requires — a short multidomain screen validated against a comprehensive comparator, multiple members rating the system as a whole, disagreement read as evidence rather than error, averaging justified by demonstrated agreement, comparison across respondent roles, repeated administration to track trajectory — has already been performed and validated in an existing measurement tradition. The novelty is confined to the assembly at a new level. In TRL terms: every component operation has heritage; what still needs testing is the integration, and that risk is exactly what the staged empirical program is designed to retire. The claim is about design risk, not outcomes — it says no step is unprecedented, not that the assembled instrument works.</w:t>
      </w:r>
    </w:p>
    <w:p>
      <w:pPr>
        <w:spacing w:after="140" w:line="276" w:lineRule="auto"/>
      </w:pPr>
      <w:r>
        <w:rPr>
          <w:b/>
          <w:bCs/>
        </w:rPr>
        <w:t xml:space="preserve">Family→organization mappings, conservatively. </w:t>
      </w:r>
      <w:r>
        <w:t xml:space="preserve">Nine mappings from family-functioning dimensions to organizational properties (Table 6) are offered as design hypotheses, never equivalences. Structural and process dimensions — communication, roles, problem solving, behavior control — translate tightest, because they describe how any persistent multi-actor system coordinates and regulates itself. Affect-laden dimensions translate loosest: rather than transplanting family intimacy into the workplace, the mapping lands on organizational properties with their own validated research literatures — trust, and psychological safety (the shared belief that one can raise problems without career risk). One family concept does not map at all: enmeshment/disengagement, family therapy’s terms for pathological over- and under-closeness, carries over only as a structural lesson — over-coupling and under-coupling both degrade adaptive capacity. A row appears only where an organizational literature exists to receive it.</w:t>
      </w:r>
    </w:p>
    <w:p>
      <w:pPr>
        <w:spacing w:after="140" w:line="276" w:lineRule="auto"/>
      </w:pPr>
      <w:r>
        <w:rPr>
          <w:b/>
          <w:bCs/>
        </w:rPr>
        <w:t xml:space="preserve">The OHA as worked application. </w:t>
      </w:r>
      <w:r>
        <w:t xml:space="preserve">Six domains, ~20 positively worded agree–disagree rating items. The four SE pathology categories supply the skeleton; the “organization” category splits into Process Maturity and Leadership &amp; Decision-Making because the pathology evidence and the comprehensive frameworks treat process discipline and decision quality as distinct failure loci; Culture &amp; Collaboration is added because the emergent relational properties central to the CAS account are underrepresented in an execution-focused taxonomy. The six WSRC-published illustrative items are reprinted (Table 8) and put to work: they mix items about the respondent (“my responsibilities…”) with items about the unit (“our organizational culture…”), and the architecture turns that into a prescribed pre-freeze refinement — point every item at the unit being assessed — rather than a post hoc rationalization. The OHA is positioned as the screening complement to the OHI/Denison traditions, with the ~100-item OHRA, assembled from their public-domain descriptions, as the comprehensive comparator. The draft is explicit that the OHRA is a reference-class comparator, not a gold standard.</w:t>
      </w:r>
    </w:p>
    <w:p>
      <w:pPr>
        <w:spacing w:after="140" w:line="276" w:lineRule="auto"/>
      </w:pPr>
      <w:r>
        <w:rPr>
          <w:b/>
          <w:bCs/>
        </w:rPr>
        <w:t xml:space="preserve">Governance as architecture (new section, added after the pre-review). </w:t>
      </w:r>
      <w:r>
        <w:t xml:space="preserve">Three risks distinguish organizational administration from the lower rungs: candor under power differentials (responses given under perceived surveillance measure fear, not health); identifiability in small role cells; and purpose drift from system diagnosis to individual evaluation. The design commitments — confidentiality fixed in advance, minimum cell sizes before any role-level score is reported, results returned to the assessed unit itself, pre-specified data ownership and retention, and the rule that the unit, not any person, is the patient, with no individual-level inference produced or permitted — are given the same standing as item wording and scoring rules. They are measurement-critical as much as ethical: every candor analysis assumes conditions under which honest responding is rational.</w:t>
      </w:r>
    </w:p>
    <w:p>
      <w:pPr>
        <w:pStyle w:val="Heading1"/>
      </w:pPr>
      <w:r>
        <w:t xml:space="preserve">6.  What the paper does not claim</w:t>
      </w:r>
    </w:p>
    <w:p>
      <w:pPr>
        <w:pStyle w:val="ListParagraph"/>
        <w:numPr>
          <w:ilvl w:val="0"/>
          <w:numId w:val="2"/>
        </w:numPr>
        <w:spacing w:after="100" w:line="276" w:lineRule="auto"/>
      </w:pPr>
      <w:r>
        <w:rPr>
          <w:b/>
          <w:bCs/>
        </w:rPr>
        <w:t xml:space="preserve">Validity. </w:t>
      </w:r>
      <w:r>
        <w:t xml:space="preserve">The architecture supplies design rationale, not qualification. The measurement field’s standards are explicit that validity evidence is specific to an instrument, a population, and a use — family instruments are precedents, not validators.</w:t>
      </w:r>
    </w:p>
    <w:p>
      <w:pPr>
        <w:pStyle w:val="ListParagraph"/>
        <w:numPr>
          <w:ilvl w:val="0"/>
          <w:numId w:val="2"/>
        </w:numPr>
        <w:spacing w:after="100" w:line="276" w:lineRule="auto"/>
      </w:pPr>
      <w:r>
        <w:rPr>
          <w:b/>
          <w:bCs/>
        </w:rPr>
        <w:t xml:space="preserve">Transferable content. </w:t>
      </w:r>
      <w:r>
        <w:t xml:space="preserve">No item, reference distribution, or decision threshold crosses levels; organizational thresholds await organizational data.</w:t>
      </w:r>
    </w:p>
    <w:p>
      <w:pPr>
        <w:pStyle w:val="ListParagraph"/>
        <w:numPr>
          <w:ilvl w:val="0"/>
          <w:numId w:val="2"/>
        </w:numPr>
        <w:spacing w:after="100" w:line="276" w:lineRule="auto"/>
      </w:pPr>
      <w:r>
        <w:rPr>
          <w:b/>
          <w:bCs/>
        </w:rPr>
        <w:t xml:space="preserve">Organizational early warning. </w:t>
      </w:r>
      <w:r>
        <w:t xml:space="preserve">That organizational transitions are preceded by measurable early-warning signatures (as documented for depression onset and remission) is deliberately demoted to a motivating hypothesis the research program must test — question 4 below.</w:t>
      </w:r>
    </w:p>
    <w:p>
      <w:pPr>
        <w:pStyle w:val="ListParagraph"/>
        <w:numPr>
          <w:ilvl w:val="0"/>
          <w:numId w:val="2"/>
        </w:numPr>
        <w:spacing w:after="100" w:line="276" w:lineRule="auto"/>
      </w:pPr>
      <w:r>
        <w:rPr>
          <w:b/>
          <w:bCs/>
        </w:rPr>
        <w:t xml:space="preserve">Simulation as a substitute. </w:t>
      </w:r>
      <w:r>
        <w:t xml:space="preserve">Staged LLM calibration (next section) buys bounded trust in a methodology, never instrument validity; it yields a predicted measurement profile that pilot and field work must confirm, refine, or refute.</w:t>
      </w:r>
    </w:p>
    <w:p>
      <w:pPr>
        <w:pStyle w:val="Heading1"/>
      </w:pPr>
      <w:r>
        <w:t xml:space="preserve">7.  Where it goes from here (draft §§5–6)</w:t>
      </w:r>
    </w:p>
    <w:p>
      <w:pPr>
        <w:spacing w:after="140" w:line="276" w:lineRule="auto"/>
      </w:pPr>
      <w:r>
        <w:t xml:space="preserve">The implications compress into three deliverables.</w:t>
      </w:r>
    </w:p>
    <w:p>
      <w:pPr>
        <w:spacing w:after="140" w:line="276" w:lineRule="auto"/>
      </w:pPr>
      <w:r>
        <w:rPr>
          <w:b/>
          <w:bCs/>
        </w:rPr>
        <w:t xml:space="preserve">(a) A design checklist. </w:t>
      </w:r>
      <w:r>
        <w:t xml:space="preserve">The architecture distills into seven commitments for anyone building a brief screener of a multi-actor system, each inherited from what demonstrably worked at the person and family levels:</w:t>
      </w:r>
    </w:p>
    <w:p>
      <w:pPr>
        <w:pStyle w:val="ListParagraph"/>
        <w:numPr>
          <w:ilvl w:val="0"/>
          <w:numId w:val="2"/>
        </w:numPr>
        <w:spacing w:after="100" w:line="276" w:lineRule="auto"/>
      </w:pPr>
      <w:r>
        <w:t xml:space="preserve">Decide what you are measuring before writing items: name the system-level state and ground its decomposition in an established taxonomy — psychiatry’s diagnostic manual for the PHQ-9, the McMaster model of family functioning for the FAD, SE pathology for the OHA.</w:t>
      </w:r>
    </w:p>
    <w:p>
      <w:pPr>
        <w:pStyle w:val="ListParagraph"/>
        <w:numPr>
          <w:ilvl w:val="0"/>
          <w:numId w:val="2"/>
        </w:numPr>
        <w:spacing w:after="100" w:line="276" w:lineRule="auto"/>
      </w:pPr>
      <w:r>
        <w:t xml:space="preserve">Cover each major domain with a few well-chosen items instead of trying to measure everything; in a tightly coupled system, a small sample of indicators carries information about the state of the whole.</w:t>
      </w:r>
    </w:p>
    <w:p>
      <w:pPr>
        <w:pStyle w:val="ListParagraph"/>
        <w:numPr>
          <w:ilvl w:val="0"/>
          <w:numId w:val="2"/>
        </w:numPr>
        <w:spacing w:after="100" w:line="276" w:lineRule="auto"/>
      </w:pPr>
      <w:r>
        <w:t xml:space="preserve">Word items about the unit (“our team…”, “this organization…”), not the respondent’s private state (“I feel…”).</w:t>
      </w:r>
    </w:p>
    <w:p>
      <w:pPr>
        <w:pStyle w:val="ListParagraph"/>
        <w:numPr>
          <w:ilvl w:val="0"/>
          <w:numId w:val="2"/>
        </w:numPr>
        <w:spacing w:after="100" w:line="276" w:lineRule="auto"/>
      </w:pPr>
      <w:r>
        <w:t xml:space="preserve">Collect responses from people positioned differently — frontline, supervisor, executive — and when they disagree, report the disagreement as a finding about the organization rather than averaging it away.</w:t>
      </w:r>
    </w:p>
    <w:p>
      <w:pPr>
        <w:pStyle w:val="ListParagraph"/>
        <w:numPr>
          <w:ilvl w:val="0"/>
          <w:numId w:val="2"/>
        </w:numPr>
        <w:spacing w:after="100" w:line="276" w:lineRule="auto"/>
      </w:pPr>
      <w:r>
        <w:t xml:space="preserve">Keep it short enough that people will actually complete it every cycle; the diagnostic signal is the trend across administrations, not any single score.</w:t>
      </w:r>
    </w:p>
    <w:p>
      <w:pPr>
        <w:pStyle w:val="ListParagraph"/>
        <w:numPr>
          <w:ilvl w:val="0"/>
          <w:numId w:val="2"/>
        </w:numPr>
        <w:spacing w:after="100" w:line="276" w:lineRule="auto"/>
      </w:pPr>
      <w:r>
        <w:t xml:space="preserve">Validate the short form against a comprehensive assessment, so the cost of brevity is known and a flagged result has a defined follow-up.</w:t>
      </w:r>
    </w:p>
    <w:p>
      <w:pPr>
        <w:pStyle w:val="ListParagraph"/>
        <w:numPr>
          <w:ilvl w:val="0"/>
          <w:numId w:val="2"/>
        </w:numPr>
        <w:spacing w:after="100" w:line="276" w:lineRule="auto"/>
      </w:pPr>
      <w:r>
        <w:t xml:space="preserve">Publish the items and the reasoning; screeners earn trust through open critique and cumulative validation, as the PHQ-9 did.</w:t>
      </w:r>
    </w:p>
    <w:p>
      <w:pPr>
        <w:spacing w:after="140" w:line="276" w:lineRule="auto"/>
      </w:pPr>
      <w:r>
        <w:rPr>
          <w:b/>
          <w:bCs/>
        </w:rPr>
        <w:t xml:space="preserve">(b) The staged calibration rationale for the practicum’s simulation work. </w:t>
      </w:r>
      <w:r>
        <w:t xml:space="preserve">Before trusting LLM-simulated respondents where no reference data exist, the methodology must first reproduce known answers where they do — standard practice for qualifying a new measurement method. Simulated respondents are checked against published PHQ-9 relationships first, then against family-level signatures (FAD score patterns, informative disagreement between members, SCORE-15 change detection), and only then applied at the organizational level, where agent-based dynamics define ground truth. The ladder is what makes the calibration graduated rather than a single unchecked leap — the family gate tests exactly the capabilities (multiple respondents coherently describing one system; tracking change over time) that the organizational application requires.</w:t>
      </w:r>
    </w:p>
    <w:p>
      <w:pPr>
        <w:spacing w:after="140" w:line="276" w:lineRule="auto"/>
      </w:pPr>
      <w:r>
        <w:rPr>
          <w:b/>
          <w:bCs/>
        </w:rPr>
        <w:t xml:space="preserve">(c) A validation roadmap. </w:t>
      </w:r>
      <w:r>
        <w:t xml:space="preserve">The paper follows the measurement field’s argument-based approach to validation, which a systems engineer can read as an assurance case: state the chain of inferences from raw scores to decisions, then support each link with evidence. The links, in plain terms: items belonging to the same domain should behave coherently; unit-level scores should show interpretable structure across respondent roles; the screener should converge with its comprehensive comparator and eventually predict outcomes such as retention, delivery performance, and incident experience; and domain profiles and trends should demonstrably support good follow-up decisions. The work is staged from computational characterization through pilot to field study.</w:t>
      </w:r>
    </w:p>
    <w:p>
      <w:pPr>
        <w:spacing w:after="140" w:line="276" w:lineRule="auto"/>
      </w:pPr>
      <w:r>
        <w:rPr>
          <w:b/>
          <w:bCs/>
        </w:rPr>
        <w:t xml:space="preserve">Limitations: </w:t>
      </w:r>
      <w:r>
        <w:t xml:space="preserve">seven, stated as part of the contribution. The two doing the most work: the screening logic’s boundary conditions (it presumes intact units with continuing membership and shared fate — heavily matrixed or gig-style contexts sit near or beyond the boundary), and domain coverage (six SE-tuned domains sample organizational health rather than exhaust it; equity-extended variants are flagged as successors, not absorbed claims).</w:t>
      </w:r>
    </w:p>
    <w:p>
      <w:pPr>
        <w:pStyle w:val="Heading1"/>
      </w:pPr>
      <w:r>
        <w:t xml:space="preserve">8.  Where I most need your judgment</w:t>
      </w:r>
    </w:p>
    <w:p>
      <w:pPr>
        <w:pStyle w:val="ListParagraph"/>
        <w:numPr>
          <w:ilvl w:val="0"/>
          <w:numId w:val="3"/>
        </w:numPr>
        <w:spacing w:after="120" w:line="276" w:lineRule="auto"/>
      </w:pPr>
      <w:r>
        <w:rPr>
          <w:b/>
          <w:bCs/>
        </w:rPr>
        <w:t xml:space="preserve">The families-vs-teams concession (§3 above; draft §3.3). </w:t>
      </w:r>
      <w:r>
        <w:t xml:space="preserve">The revision credits team research substantially and rests the family anchor on the five criteria. I believe the concession strengthens the argument — do you agree?</w:t>
      </w:r>
    </w:p>
    <w:p>
      <w:pPr>
        <w:pStyle w:val="ListParagraph"/>
        <w:numPr>
          <w:ilvl w:val="0"/>
          <w:numId w:val="3"/>
        </w:numPr>
        <w:spacing w:after="120" w:line="276" w:lineRule="auto"/>
      </w:pPr>
      <w:r>
        <w:rPr>
          <w:b/>
          <w:bCs/>
        </w:rPr>
        <w:t xml:space="preserve">Venue. </w:t>
      </w:r>
      <w:r>
        <w:t xml:space="preserve">Systems Research and Behavioral Science (best theoretical fit, general-systems lineage) vs. Systems Engineering (Wiley) (best practicum visibility). Which serves the program better?</w:t>
      </w:r>
    </w:p>
    <w:p>
      <w:pPr>
        <w:pStyle w:val="ListParagraph"/>
        <w:numPr>
          <w:ilvl w:val="0"/>
          <w:numId w:val="3"/>
        </w:numPr>
        <w:spacing w:after="120" w:line="276" w:lineRule="auto"/>
      </w:pPr>
      <w:r>
        <w:rPr>
          <w:b/>
          <w:bCs/>
        </w:rPr>
        <w:t xml:space="preserve">Publishing the illustrative items (draft §4.4). </w:t>
      </w:r>
      <w:r>
        <w:t xml:space="preserve">The six WSRC-published items are reprinted, and their mixed wording is used as evidence that the architecture prescribes real refinements. Appropriate, or hold all items back until the operational pool freezes?</w:t>
      </w:r>
    </w:p>
    <w:p>
      <w:pPr>
        <w:pStyle w:val="ListParagraph"/>
        <w:numPr>
          <w:ilvl w:val="0"/>
          <w:numId w:val="3"/>
        </w:numPr>
        <w:spacing w:after="120" w:line="276" w:lineRule="auto"/>
      </w:pPr>
      <w:r>
        <w:rPr>
          <w:b/>
          <w:bCs/>
        </w:rPr>
        <w:t xml:space="preserve">The early-warning demotion (draft §2.4, §3.1). </w:t>
      </w:r>
      <w:r>
        <w:t xml:space="preserve">Organizational early warning is deliberately a hypothesis, not a finding. Right call, or does it undersell the CAS motivation?</w:t>
      </w:r>
    </w:p>
    <w:p>
      <w:pPr>
        <w:pStyle w:val="ListParagraph"/>
        <w:numPr>
          <w:ilvl w:val="0"/>
          <w:numId w:val="3"/>
        </w:numPr>
        <w:spacing w:after="120" w:line="276" w:lineRule="auto"/>
      </w:pPr>
      <w:r>
        <w:rPr>
          <w:b/>
          <w:bCs/>
        </w:rPr>
        <w:t xml:space="preserve">Density. </w:t>
      </w:r>
      <w:r>
        <w:t xml:space="preserve">Eight tables and one figure carry the architecture. Trim now, or after venue selection?</w:t>
      </w:r>
    </w:p>
    <w:p>
      <w:pPr>
        <w:spacing w:after="0" w:before="120" w:line="276" w:lineRule="auto"/>
      </w:pPr>
      <w:r>
        <w:t xml:space="preserve">If it would help to go deeper on any of these, the full draft and the pre-review disposition are available on request — and I’d welcome a working session on any single section.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Carr — argument brief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2026-06-12T02:36:19.286Z</dcterms:created>
  <dcterms:modified xsi:type="dcterms:W3CDTF">2026-06-12T02:36:19.287Z</dcterms:modified>
</cp:coreProperties>
</file>

<file path=docProps/custom.xml><?xml version="1.0" encoding="utf-8"?>
<Properties xmlns="http://schemas.openxmlformats.org/officeDocument/2006/custom-properties" xmlns:vt="http://schemas.openxmlformats.org/officeDocument/2006/docPropsVTypes"/>
</file>