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From Persons to Families to Organizations: A Cross-Level CAS Foundation for Brief Health Screening</w:t>
      </w:r>
    </w:p>
    <w:p>
      <w:pPr>
        <w:pBdr>
          <w:bottom w:val="single" w:color="1F4E79" w:sz="6" w:space="4"/>
        </w:pBdr>
        <w:spacing w:after="120"/>
      </w:pPr>
      <w:r>
        <w:rPr>
          <w:i/>
          <w:iCs/>
          <w:sz w:val="21"/>
          <w:szCs w:val="21"/>
        </w:rPr>
        <w:t xml:space="preserve">First-draft outline for advisor review — Ryan Carr — June 10, 2026</w:t>
      </w:r>
    </w:p>
    <w:p>
      <w:pPr>
        <w:spacing w:after="40"/>
      </w:pPr>
      <w:r>
        <w:rPr>
          <w:b/>
          <w:bCs/>
        </w:rPr>
        <w:t xml:space="preserve">Status: </w:t>
      </w:r>
      <w:r>
        <w:t xml:space="preserve">Full draft complete (~11,600 words; reads at ~30 min). Revised once against an external pre-review; a point-by-point disposition memo accompanies the draft. This is paper 2 of 6 in the practicum publication sequence — the expanded theory paper that follows the published WSRC 2025 framework paper.</w:t>
      </w:r>
    </w:p>
    <w:p>
      <w:pPr>
        <w:spacing w:after="140"/>
      </w:pPr>
      <w:r>
        <w:rPr>
          <w:b/>
          <w:bCs/>
        </w:rPr>
        <w:t xml:space="preserve">Candidate venues: </w:t>
      </w:r>
      <w:r>
        <w:t xml:space="preserve">Systems Research and Behavioral Science (primary); Systems Engineering (Wiley) (alternative); INCOSE conference cut-down (fallback). Venue not yet committed — see question 2 below.</w:t>
      </w:r>
    </w:p>
    <w:p>
      <w:pPr>
        <w:pStyle w:val="Heading2"/>
        <w:spacing w:after="80" w:before="160"/>
      </w:pPr>
      <w:r>
        <w:t xml:space="preserve">Thesis in one paragraph</w:t>
      </w:r>
    </w:p>
    <w:p>
      <w:pPr>
        <w:spacing w:after="100"/>
      </w:pPr>
      <w:r>
        <w:t xml:space="preserve">Transferring brief-screener logic (PHQ-9 style) directly from clinical screening to organizational health assessment crosses two levels of analysis in one step — from a bounded individual respondent to a multi-actor system whose health is emergent. The paper argues the leap becomes principled when decomposed into two single-level steps through family systems. Two kinds of evidence carry the argument: (1) persons, families, and organizations each instantiate the defining complex-adaptive-systems properties, and family science derived its systems concepts independently, decades before complexity science named them; (2) the brief-screening design pattern — brief multidomain instrument validated against a comprehensive comparator, administered repeatedly — has already re-emerged independently at the family level (FAD General Functioning within the full FAD; SCORE-15 distilled from SCORE-40), and the FAD predates the PHQ-9 by 18 years, so it cannot be imitation. From these precedents the paper derives a cross-level measurement architecture specifying what transfers, what adapts, and what cannot transfer. The OHA is the worked application; the architecture supplies design rationale, never validity.</w:t>
      </w:r>
    </w:p>
    <w:p>
      <w:pPr>
        <w:pStyle w:val="Heading2"/>
        <w:spacing w:after="80" w:before="160"/>
      </w:pPr>
      <w:r>
        <w:t xml:space="preserve">Contributions (as stated in the paper)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Family systems established as a theoretically grounded intermediate CAS level via a term-by-term mapping from family systems theory (homeostasis, circular causality, second-order change) onto CAS vocabulary (attractors, feedback, critical transitions).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Brief health screening shown to be a level-general measurement pattern, with family systems located — in explicit comparison with team research — as the anchor of the intermediate rung.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cross-level measurement architecture: five-element assessment-system abstraction, construct correspondences, multilevel measurement foundations, and administration/governance commitments, with the OHA as worked application.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Implications: a seven-commitment design discipline; a staged known-answer calibration rationale for simulation-based instrument characterization (the practicum’s three-step design); an argument-based (Kane) validation roadmap.</w:t>
      </w:r>
    </w:p>
    <w:p>
      <w:pPr>
        <w:pStyle w:val="Heading2"/>
        <w:spacing w:after="80" w:before="160"/>
      </w:pPr>
      <w:r>
        <w:t xml:space="preserve">Argument walkthrough (7 sections, 8 tables, 1 figure)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Introduction. </w:t>
      </w:r>
      <w:r>
        <w:t xml:space="preserve">The measurement gap (cited and bounded: “open to counterexample”); the two-level-leap objection stated honestly; thesis; explicit statement that the paper is conceptual with the empirical program reported separately.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Three Systems, One Pattern. </w:t>
      </w:r>
      <w:r>
        <w:t xml:space="preserve">CAS properties at all three levels (Table 1; Figure 1 — the ladder). Persons: network theory of mental disorders, critical transitions. Families: the load-bearing novelty — family systems theory mapped term-by-term onto CAS vocabulary (Table 2). Organizations: CAS framing plus SE pathology as diagnostic taxonomy; punctuated-equilibrium citations added; organizational early-warning explicitly flagged as hypothesis, not finding. Closes with disanalogies and within-level heterogeneity (target class: intact units with continuing membership).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Screening as a Level-General Pattern. </w:t>
      </w:r>
      <w:r>
        <w:t xml:space="preserve">Clinical design principles and their CAS reading; the family-level replication (Table 3: brief/comprehensive pairings at all three levels; FAD predates PHQ-9; informant discrepancy as data). §3.3 answers “why families rather than teams?” against five explicit criteria — teams credited (TCI, TDS, referent-shift practice) and positioned as complementary; families anchor because the screening pattern (norms, brief-vs-comprehensive validation, routine monitoring) exists only there. §3.4: transfer analysis (Table 4: transfers / adapts / does not transfer — content, norms, and validity never transfer).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Cross-Level Measurement Architecture. </w:t>
      </w:r>
      <w:r>
        <w:t xml:space="preserve">Five-element assessment system instantiated at all three levels (Table 5); key claim: the measurement-theoretically hard transitions (multi-informant, system-referent, emergent construct) are already solved at the person→family boundary, and what the family→organization boundary adds (scale, role stratification, purposive structure) is covered by multilevel measurement theory (referent-shift and dispersion composition, agreement indices, invariance testing — with a concrete evaluation plan). Construct correspondence table (hypotheses, not equivalences). OHA worked application: six-domain rationale, published illustrative items (Table 8), positioning vs. OHI/Denison as their screening complement. New §4.5: administration, governance, and ethics (power differentials, cell-size minimums, anti-surveillance commitments, unit-as-patient framing).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Implications. </w:t>
      </w:r>
      <w:r>
        <w:t xml:space="preserve">Seven-commitment design checklist for screeners of multi-actor systems; simulation-based characterization — why the ladder yields two known-answer calibration gates (PHQ-9, then FAD/SCORE-15) before the OHA/OHRA step, and why simulation complements but never substitutes for validation; Kane argument-based validation mapping including criterion/discriminant expectations.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Limitations (seven). </w:t>
      </w:r>
      <w:r>
        <w:t xml:space="preserve">Design rationale ≠ validity; families ≠ organizations; family precedents have their own weaknesses; families are best-instrumented, not unique; boundary conditions (matrixed/gig contexts near or beyond them); domains sample rather than exhaust health (equity/diversity flagged); theory paper — empirics and governance practicability are program questions.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Conclusion. </w:t>
      </w:r>
      <w:r>
        <w:t xml:space="preserve">The pattern has two validated predecessors; the architecture is reusable beyond the OHA and beyond systems engineering.</w:t>
      </w:r>
    </w:p>
    <w:p>
      <w:pPr>
        <w:pStyle w:val="Heading2"/>
        <w:spacing w:after="80" w:before="160"/>
      </w:pPr>
      <w:r>
        <w:t xml:space="preserve">Claim discipline — what the paper does not claim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FAD and SCORE are design precedents, not validators; no validity, norms, cutoffs, or items transfer across levels.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OHA/OHRA convergence is a design-stage prediction; the OHRA is a public-domain reference-class comparator, not a gold standard.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Early-warning detection of organizational transitions is a motivating hypothesis the research program must test.</w:t>
      </w:r>
    </w:p>
    <w:p>
      <w:pPr>
        <w:pStyle w:val="Heading2"/>
        <w:spacing w:after="80" w:before="160"/>
      </w:pPr>
      <w:r>
        <w:t xml:space="preserve">Where your feedback would help most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§3.3 now concedes real ground to team research (TCI/TDS credited; complementarity framing). I think this strengthens the argument — are you comfortable with that framing before it shapes committee conversations?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Venue: SRBS (best theoretical fit, GST lineage) vs. Systems Engineering (Wiley) (best practicum visibility). Which serves the program better?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§4.4 reprints the six illustrative items already published in the WSRC paper, and notes their mixed self/unit referents as a prescribed pre-freeze refinement. Appropriate, or hold items back entirely until freeze?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The organizational early-warning claim is deliberately demoted to “hypothesis.” Right call, or does it under-sell the CAS motivation?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Density: 8 tables + 1 figure carry the architecture. Trim now, or after venue selection?</w:t>
      </w:r>
    </w:p>
    <w:p>
      <w:pPr>
        <w:spacing w:before="120"/>
      </w:pPr>
      <w:r>
        <w:rPr>
          <w:i/>
          <w:iCs/>
        </w:rPr>
        <w:t xml:space="preserve">Full draft (36 pp PDF) and the external-review disposition memo are available whenever useful.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§%1"/>
      <w:lvlJc w:val="left"/>
      <w:pPr>
        <w:ind w:left="440" w:hanging="4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2026-06-11T00:40:23.388Z</dcterms:created>
  <dcterms:modified xsi:type="dcterms:W3CDTF">2026-06-11T00:40:23.391Z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