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18"/>
          <w:szCs w:val="18"/>
        </w:rPr>
        <w:t xml:space="preserve">RYAN TEIXEIRA — ANÁLISES JURÍDICAS (SOLO) — 20/10/2026</w:t>
      </w:r>
    </w:p>
    <w:p>
      <w:pPr>
        <w:spacing w:after="80"/>
        <w:jc w:val="center"/>
      </w:pPr>
      <w:r>
        <w:rPr>
          <w:rFonts w:ascii="Times New Roman" w:cs="Times New Roman" w:eastAsia="Times New Roman" w:hAnsi="Times New Roman"/>
          <w:b/>
          <w:bCs/>
          <w:sz w:val="28"/>
          <w:szCs w:val="28"/>
        </w:rPr>
        <w:t xml:space="preserve">ROTEIRO 1 — O PRÓPRIO GILMAR DISSE QUE ANTECIPAR PAGAMENTO ERA O PROBLEMA. UM MÊS DEPOIS, O GOVERNO ANTECIPOU O BOLSA FAMÍLIA</w:t>
      </w:r>
    </w:p>
    <w:p>
      <w:pPr>
        <w:spacing w:after="160"/>
        <w:jc w:val="center"/>
      </w:pPr>
      <w:r>
        <w:rPr>
          <w:rFonts w:ascii="Times New Roman" w:cs="Times New Roman" w:eastAsia="Times New Roman" w:hAnsi="Times New Roman"/>
          <w:i/>
          <w:iCs/>
          <w:sz w:val="20"/>
          <w:szCs w:val="20"/>
        </w:rPr>
        <w:t xml:space="preserve">Solo · até 3 minutos · gancho → fato rápido → lei → o outro lado → opinião</w:t>
      </w:r>
    </w:p>
    <w:p>
      <w:pPr>
        <w:spacing w:after="40" w:before="120"/>
      </w:pPr>
      <w:r>
        <w:rPr>
          <w:rFonts w:ascii="Times New Roman" w:cs="Times New Roman" w:eastAsia="Times New Roman" w:hAnsi="Times New Roman"/>
          <w:b/>
          <w:bCs/>
          <w:sz w:val="24"/>
          <w:szCs w:val="24"/>
        </w:rPr>
        <w:t xml:space="preserve">GANCHO</w:t>
      </w:r>
    </w:p>
    <w:p>
      <w:pPr>
        <w:spacing w:after="80"/>
        <w:jc w:val="both"/>
      </w:pPr>
      <w:r>
        <w:rPr>
          <w:rFonts w:ascii="Times New Roman" w:cs="Times New Roman" w:eastAsia="Times New Roman" w:hAnsi="Times New Roman"/>
          <w:sz w:val="24"/>
          <w:szCs w:val="24"/>
        </w:rPr>
        <w:t xml:space="preserve">Em setembro, o ministro Gilmar Mendes liberou o reajuste do Bolsa Família em ano eleitoral. E, pra dizer que estava tudo certo, escreveu que esse caso era diferente do de 2022. Uma das diferenças que ele apontou? Em 2022 teve antecipação do calendário de pagamento. Pois bem. Um mês depois, o governo antecipou o calendário. Pra antes do segundo turno. Cadê o TSE?</w:t>
      </w:r>
    </w:p>
    <w:p>
      <w:pPr>
        <w:spacing w:after="40" w:before="120"/>
      </w:pPr>
      <w:r>
        <w:rPr>
          <w:rFonts w:ascii="Times New Roman" w:cs="Times New Roman" w:eastAsia="Times New Roman" w:hAnsi="Times New Roman"/>
          <w:b/>
          <w:bCs/>
          <w:sz w:val="24"/>
          <w:szCs w:val="24"/>
        </w:rPr>
        <w:t xml:space="preserve">O FATO</w:t>
      </w:r>
    </w:p>
    <w:p>
      <w:pPr>
        <w:spacing w:after="80"/>
        <w:jc w:val="both"/>
      </w:pPr>
      <w:r>
        <w:rPr>
          <w:rFonts w:ascii="Times New Roman" w:cs="Times New Roman" w:eastAsia="Times New Roman" w:hAnsi="Times New Roman"/>
          <w:sz w:val="24"/>
          <w:szCs w:val="24"/>
        </w:rPr>
        <w:t xml:space="preserve">O reajuste de 15% saiu por decreto 17 dias antes do primeiro turno. O Gilmar validou no dia seguinte, num processo que estava arquivado desde 2024. E agora uma portaria do Ministério do Desenvolvimento Social mudou o calendário: o pagamento, que ia até o dia 30, depois da eleição, caiu todo entre os dias 19 e 21. Já com o reajuste. A justificativa oficial é o El Niño.</w:t>
      </w:r>
    </w:p>
    <w:p>
      <w:pPr>
        <w:spacing w:after="40" w:before="120"/>
      </w:pPr>
      <w:r>
        <w:rPr>
          <w:rFonts w:ascii="Times New Roman" w:cs="Times New Roman" w:eastAsia="Times New Roman" w:hAnsi="Times New Roman"/>
          <w:b/>
          <w:bCs/>
          <w:sz w:val="24"/>
          <w:szCs w:val="24"/>
        </w:rPr>
        <w:t xml:space="preserve">O QUE DIZ A LEI</w:t>
      </w:r>
    </w:p>
    <w:p>
      <w:pPr>
        <w:spacing w:after="80"/>
        <w:jc w:val="both"/>
      </w:pPr>
      <w:r>
        <w:rPr>
          <w:rFonts w:ascii="Times New Roman" w:cs="Times New Roman" w:eastAsia="Times New Roman" w:hAnsi="Times New Roman"/>
          <w:sz w:val="24"/>
          <w:szCs w:val="24"/>
        </w:rPr>
        <w:t xml:space="preserve">A Lei das Eleições, no artigo 73, parágrafo dez, proíbe o governo de distribuir dinheiro ou benefício de graça no ano da eleição. A exceção é programa social já criado em lei e em execução no ano anterior. O Bolsa Família entra na exceção? Entra.</w:t>
      </w:r>
    </w:p>
    <w:p>
      <w:pPr>
        <w:spacing w:after="80"/>
        <w:jc w:val="both"/>
      </w:pPr>
      <w:r>
        <w:rPr>
          <w:rFonts w:ascii="Times New Roman" w:cs="Times New Roman" w:eastAsia="Times New Roman" w:hAnsi="Times New Roman"/>
          <w:sz w:val="24"/>
          <w:szCs w:val="24"/>
        </w:rPr>
        <w:t xml:space="preserve">Mas o próprio TSE já decidiu que o programa antigo não é salvo-conduto: um incremento robusto no ano da eleição, ou uma quebra da rotina administrativa pra concentrar o benefício às vésperas do voto, pode configurar abuso de poder político. E abuso de poder dá cassação e oito anos de inelegibilidade, pela Lei da Ficha Limpa.</w:t>
      </w:r>
    </w:p>
    <w:p>
      <w:pPr>
        <w:spacing w:after="40" w:before="120"/>
      </w:pPr>
      <w:r>
        <w:rPr>
          <w:rFonts w:ascii="Times New Roman" w:cs="Times New Roman" w:eastAsia="Times New Roman" w:hAnsi="Times New Roman"/>
          <w:b/>
          <w:bCs/>
          <w:sz w:val="24"/>
          <w:szCs w:val="24"/>
        </w:rPr>
        <w:t xml:space="preserve">O OUTRO LADO</w:t>
      </w:r>
    </w:p>
    <w:p>
      <w:pPr>
        <w:spacing w:after="80"/>
        <w:jc w:val="both"/>
      </w:pPr>
      <w:r>
        <w:rPr>
          <w:rFonts w:ascii="Times New Roman" w:cs="Times New Roman" w:eastAsia="Times New Roman" w:hAnsi="Times New Roman"/>
          <w:sz w:val="24"/>
          <w:szCs w:val="24"/>
        </w:rPr>
        <w:t xml:space="preserve">O governo diz que é só reposição da inflação e que a antecipação é por causa do clima. Só que teve quatro anos pra corrigir o benefício e escolheu fazer isso a 17 dias da eleição. E adiantar o pagamento pra antes do segundo turno. Coincidência demais pra Justiça Eleitoral fingir que não viu.</w:t>
      </w:r>
    </w:p>
    <w:p>
      <w:pPr>
        <w:spacing w:after="40" w:before="120"/>
      </w:pPr>
      <w:r>
        <w:rPr>
          <w:rFonts w:ascii="Times New Roman" w:cs="Times New Roman" w:eastAsia="Times New Roman" w:hAnsi="Times New Roman"/>
          <w:b/>
          <w:bCs/>
          <w:sz w:val="24"/>
          <w:szCs w:val="24"/>
        </w:rPr>
        <w:t xml:space="preserve">MINHA OPINIÃO</w:t>
      </w:r>
    </w:p>
    <w:p>
      <w:pPr>
        <w:spacing w:after="80"/>
        <w:jc w:val="both"/>
      </w:pPr>
      <w:r>
        <w:rPr>
          <w:rFonts w:ascii="Times New Roman" w:cs="Times New Roman" w:eastAsia="Times New Roman" w:hAnsi="Times New Roman"/>
          <w:sz w:val="24"/>
          <w:szCs w:val="24"/>
        </w:rPr>
        <w:t xml:space="preserve">E deixa eu ser claro: ninguém aqui é contra o Bolsa Família. O próprio Flávio disse que mantém o reajuste. O problema é usar o calendário do benefício como calendário eleitoral. Na minha opinião, isso é abuso de poder político. E, se ficar provado que o objetivo era conseguir voto, pode chegar até no crime de corrupção eleitoral. Já tem ação no TSE. Agora eu quero ver se a régua de 2022 vai valer em 2026.</w:t>
      </w:r>
    </w:p>
    <w:p>
      <w:pPr>
        <w:spacing w:after="40" w:before="120"/>
      </w:pPr>
      <w:r>
        <w:rPr>
          <w:rFonts w:ascii="Times New Roman" w:cs="Times New Roman" w:eastAsia="Times New Roman" w:hAnsi="Times New Roman"/>
          <w:b/>
          <w:bCs/>
          <w:sz w:val="24"/>
          <w:szCs w:val="24"/>
        </w:rPr>
        <w:t xml:space="preserve">FECHAMENTO</w:t>
      </w:r>
    </w:p>
    <w:p>
      <w:pPr>
        <w:spacing w:after="80"/>
        <w:jc w:val="both"/>
      </w:pPr>
      <w:r>
        <w:rPr>
          <w:rFonts w:ascii="Times New Roman" w:cs="Times New Roman" w:eastAsia="Times New Roman" w:hAnsi="Times New Roman"/>
          <w:sz w:val="24"/>
          <w:szCs w:val="24"/>
        </w:rPr>
        <w:t xml:space="preserve">E você, acha que foi coincidência? Comenta aqui e manda pra quem precisa ver. Segue o Dr. Ryan!</w:t>
      </w:r>
    </w:p>
    <w:p>
      <w:pPr>
        <w:spacing w:after="60" w:before="200"/>
      </w:pPr>
      <w:r>
        <w:rPr>
          <w:rFonts w:ascii="Times New Roman" w:cs="Times New Roman" w:eastAsia="Times New Roman" w:hAnsi="Times New Roman"/>
          <w:b/>
          <w:bCs/>
          <w:i/>
          <w:iCs/>
          <w:sz w:val="18"/>
          <w:szCs w:val="18"/>
        </w:rPr>
        <w:t xml:space="preserve">NOTA INTERNA — NÃO LER NA GRAVAÇÃO</w:t>
      </w:r>
    </w:p>
    <w:p>
      <w:pPr>
        <w:spacing w:after="0"/>
      </w:pPr>
      <w:r>
        <w:rPr>
          <w:rFonts w:ascii="Times New Roman" w:cs="Times New Roman" w:eastAsia="Times New Roman" w:hAnsi="Times New Roman"/>
          <w:i/>
          <w:iCs/>
          <w:sz w:val="15"/>
          <w:szCs w:val="15"/>
        </w:rPr>
        <w:t xml:space="preserve">• Reajuste: Decreto 13.120/2026 (17/9/2026), 15,04% (INPC), piso de R$ 600 para R$ 691, efeitos a partir de 1/10 (Agência Brasil; CNN). Gilmar validou em 18/9/2026 no Mandado de Injunção 7.300 (DPU, 2020; arquivado em ago/2024; nova petição da DPU; Fachin enviou ao gabinete de Gilmar como último relator; o gabinete diz que é 'incorreto dizer que o ministro reabriu o processo' — por isso o texto diz 'num processo que estava arquivado desde 2024', fato descrito pelo Poder360). A decisão distingue 2022: 'ampliação temporária de benefícios, criação de novas prestações, antecipação do calendário de pagamentos' (Times Brasil, Conjur 18/9). Tirar print dessa passagem.</w:t>
      </w:r>
    </w:p>
    <w:p>
      <w:pPr>
        <w:spacing w:after="0"/>
      </w:pPr>
      <w:r>
        <w:rPr>
          <w:rFonts w:ascii="Times New Roman" w:cs="Times New Roman" w:eastAsia="Times New Roman" w:hAnsi="Times New Roman"/>
          <w:i/>
          <w:iCs/>
          <w:sz w:val="15"/>
          <w:szCs w:val="15"/>
        </w:rPr>
        <w:t xml:space="preserve">• Antecipação: Portaria MDS nº 1.221 (assinada 16/10, DOU 19/10/2026): 'calendário extraordinário' para out/nov/dez; NIS 1 em 19/10, NIS 2 em 20/10, NIS 3 a 0 em 21/10; calendário original ia até 30/10; ~19,3 milhões de famílias; justificativa oficial: super El Niño (518 emergências em ago/set). CONFERIR as datas no DOU antes de gravar (a busca direta não achou a portaria; datas vieram de várias reportagens).</w:t>
      </w:r>
    </w:p>
    <w:p>
      <w:pPr>
        <w:spacing w:after="0"/>
      </w:pPr>
      <w:r>
        <w:rPr>
          <w:rFonts w:ascii="Times New Roman" w:cs="Times New Roman" w:eastAsia="Times New Roman" w:hAnsi="Times New Roman"/>
          <w:i/>
          <w:iCs/>
          <w:sz w:val="15"/>
          <w:szCs w:val="15"/>
        </w:rPr>
        <w:t xml:space="preserve">• Lei 9.504/1997, art. 73, § 10 (texto: 'No ano em que se realizar eleição, fica proibida a distribuição gratuita de bens, valores ou benefícios por parte da Administração Pública, exceto nos casos de calamidade pública, de estado de emergência ou de programas sociais autorizados em lei e já em execução orçamentária no exercício anterior...') e inciso IV (uso promocional). TSE (Temas Selecionados): ilícito o 'robusto incremento do programa no ano eleitoral, ainda que previsto em lei e com execução orçamentária prévia'; precedente de cassação por 'quebra da rotina administrativa' (número não confirmado). LC 64/1990, art. 22, XIV e XVI. CE, art. 299: exige dolo específico de obter voto e eleitor identificável (TSE) — por isso o texto diz 'se ficar provado... pode chegar até' (CONDICIONAL). NÃO afirmar que Lula cometeu crime: risco de calúnia eleitoral (CE, art. 324) para quem afirma crime de candidato como fato.</w:t>
      </w:r>
    </w:p>
    <w:p>
      <w:pPr>
        <w:spacing w:after="0"/>
      </w:pPr>
      <w:r>
        <w:rPr>
          <w:rFonts w:ascii="Times New Roman" w:cs="Times New Roman" w:eastAsia="Times New Roman" w:hAnsi="Times New Roman"/>
          <w:i/>
          <w:iCs/>
          <w:sz w:val="15"/>
          <w:szCs w:val="15"/>
        </w:rPr>
        <w:t xml:space="preserve">• Ações sem decisão: Renan Santos (TSE, relator Mendonça); Novo (AIJE de 19/10, cassação por 35 medidas); MP junto ao TCU. Zé Trovão: extinta por ilegitimidade (Flávio desautorizou).</w:t>
      </w:r>
    </w:p>
    <w:p>
      <w:pPr>
        <w:spacing w:after="0"/>
      </w:pPr>
      <w:r>
        <w:rPr>
          <w:rFonts w:ascii="Times New Roman" w:cs="Times New Roman" w:eastAsia="Times New Roman" w:hAnsi="Times New Roman"/>
          <w:i/>
          <w:iCs/>
          <w:sz w:val="15"/>
          <w:szCs w:val="15"/>
        </w:rPr>
        <w:t xml:space="preserve">• 🟡 Comentários: 'Bolsonaro antecipou o Auxílio em 2022' (IN de 3/10/2022) — resposta: 'exatamente; o STF disse que antecipar era problema; regra não tem lado'. Flávio: 'Não vou acabar, eu vou manter'. O vídeo critica o calendário, não o benefício. Perfil pessoal, sem impulsionar; nada novo em 25/10.</w:t>
      </w:r>
    </w:p>
    <w:p>
      <w:pPr>
        <w:pageBreakBefore/>
        <w:spacing w:after="0"/>
        <w:jc w:val="center"/>
      </w:pPr>
      <w:r>
        <w:rPr>
          <w:rFonts w:ascii="Times New Roman" w:cs="Times New Roman" w:eastAsia="Times New Roman" w:hAnsi="Times New Roman"/>
          <w:b/>
          <w:bCs/>
          <w:sz w:val="18"/>
          <w:szCs w:val="18"/>
        </w:rPr>
        <w:t xml:space="preserve">RYAN TEIXEIRA — ANÁLISES JURÍDICAS (SOLO) — 20/10/2026</w:t>
      </w:r>
    </w:p>
    <w:p>
      <w:pPr>
        <w:spacing w:after="80"/>
        <w:jc w:val="center"/>
      </w:pPr>
      <w:r>
        <w:rPr>
          <w:rFonts w:ascii="Times New Roman" w:cs="Times New Roman" w:eastAsia="Times New Roman" w:hAnsi="Times New Roman"/>
          <w:b/>
          <w:bCs/>
          <w:sz w:val="28"/>
          <w:szCs w:val="28"/>
        </w:rPr>
        <w:t xml:space="preserve">ROTEIRO 2 — MORAES ACUSOU O RELATOR DO CASO MASTER COM UM PAPEL SEM ASSINATURA. ATÉ A PGR DISSE NÃO</w:t>
      </w:r>
    </w:p>
    <w:p>
      <w:pPr>
        <w:spacing w:after="160"/>
        <w:jc w:val="center"/>
      </w:pPr>
      <w:r>
        <w:rPr>
          <w:rFonts w:ascii="Times New Roman" w:cs="Times New Roman" w:eastAsia="Times New Roman" w:hAnsi="Times New Roman"/>
          <w:i/>
          <w:iCs/>
          <w:sz w:val="20"/>
          <w:szCs w:val="20"/>
        </w:rPr>
        <w:t xml:space="preserve">Solo · até 3 minutos · gancho → fato rápido → lei → o outro lado → opinião</w:t>
      </w:r>
    </w:p>
    <w:p>
      <w:pPr>
        <w:spacing w:after="40" w:before="120"/>
      </w:pPr>
      <w:r>
        <w:rPr>
          <w:rFonts w:ascii="Times New Roman" w:cs="Times New Roman" w:eastAsia="Times New Roman" w:hAnsi="Times New Roman"/>
          <w:b/>
          <w:bCs/>
          <w:sz w:val="24"/>
          <w:szCs w:val="24"/>
        </w:rPr>
        <w:t xml:space="preserve">GANCHO</w:t>
      </w:r>
    </w:p>
    <w:p>
      <w:pPr>
        <w:spacing w:after="80"/>
        <w:jc w:val="both"/>
      </w:pPr>
      <w:r>
        <w:rPr>
          <w:rFonts w:ascii="Times New Roman" w:cs="Times New Roman" w:eastAsia="Times New Roman" w:hAnsi="Times New Roman"/>
          <w:sz w:val="24"/>
          <w:szCs w:val="24"/>
        </w:rPr>
        <w:t xml:space="preserve">Um ministro do Supremo acusou outro ministro do Supremo de crime. A prova? Um documento sem timbre, sem assinatura, que se descreve como “sem valor probatório”. E agora até a Procuradoria-Geral da República disse que essa acusação não tem como seguir. Vamos entender.</w:t>
      </w:r>
    </w:p>
    <w:p>
      <w:pPr>
        <w:spacing w:after="40" w:before="120"/>
      </w:pPr>
      <w:r>
        <w:rPr>
          <w:rFonts w:ascii="Times New Roman" w:cs="Times New Roman" w:eastAsia="Times New Roman" w:hAnsi="Times New Roman"/>
          <w:b/>
          <w:bCs/>
          <w:sz w:val="24"/>
          <w:szCs w:val="24"/>
        </w:rPr>
        <w:t xml:space="preserve">O FATO</w:t>
      </w:r>
    </w:p>
    <w:p>
      <w:pPr>
        <w:spacing w:after="80"/>
        <w:jc w:val="both"/>
      </w:pPr>
      <w:r>
        <w:rPr>
          <w:rFonts w:ascii="Times New Roman" w:cs="Times New Roman" w:eastAsia="Times New Roman" w:hAnsi="Times New Roman"/>
          <w:sz w:val="24"/>
          <w:szCs w:val="24"/>
        </w:rPr>
        <w:t xml:space="preserve">O Alexandre de Moraes mandou ao presidente do STF uma representação acusando o André Mendonça, que é o relator do caso Banco Master, de improbidade, abuso de autoridade e crime de responsabilidade, por supostamente direcionar as investigações. A base eram relatórios de inteligência sem assinatura de delegado. E o procurador-geral, Paulo Gonet, deu parecer dizendo que a representação não tem condições de seguir.</w:t>
      </w:r>
    </w:p>
    <w:p>
      <w:pPr>
        <w:spacing w:after="40" w:before="120"/>
      </w:pPr>
      <w:r>
        <w:rPr>
          <w:rFonts w:ascii="Times New Roman" w:cs="Times New Roman" w:eastAsia="Times New Roman" w:hAnsi="Times New Roman"/>
          <w:b/>
          <w:bCs/>
          <w:sz w:val="24"/>
          <w:szCs w:val="24"/>
        </w:rPr>
        <w:t xml:space="preserve">O QUE DIZ A LEI</w:t>
      </w:r>
    </w:p>
    <w:p>
      <w:pPr>
        <w:spacing w:after="80"/>
        <w:jc w:val="both"/>
      </w:pPr>
      <w:r>
        <w:rPr>
          <w:rFonts w:ascii="Times New Roman" w:cs="Times New Roman" w:eastAsia="Times New Roman" w:hAnsi="Times New Roman"/>
          <w:sz w:val="24"/>
          <w:szCs w:val="24"/>
        </w:rPr>
        <w:t xml:space="preserve">A Lei de Abuso de Autoridade, no artigo 1º, diz que só existe abuso quando a autoridade age com a finalidade específica de prejudicar alguém ou de beneficiar a si mesma ou a outro. E o parágrafo segundo desse mesmo artigo diz, com todas as letras: a divergência na interpretação da lei ou na avaliação de fatos e provas não configura abuso de autoridade.</w:t>
      </w:r>
    </w:p>
    <w:p>
      <w:pPr>
        <w:spacing w:after="80"/>
        <w:jc w:val="both"/>
      </w:pPr>
      <w:r>
        <w:rPr>
          <w:rFonts w:ascii="Times New Roman" w:cs="Times New Roman" w:eastAsia="Times New Roman" w:hAnsi="Times New Roman"/>
          <w:sz w:val="24"/>
          <w:szCs w:val="24"/>
        </w:rPr>
        <w:t xml:space="preserve">Ou seja: juiz conduzir uma investigação de um jeito que outro juiz não gosta não é crime. E acusação de crime precisa de prova. Papel sem assinatura, que ele mesmo diz que não vale como prova, não é prova.</w:t>
      </w:r>
    </w:p>
    <w:p>
      <w:pPr>
        <w:spacing w:after="40" w:before="120"/>
      </w:pPr>
      <w:r>
        <w:rPr>
          <w:rFonts w:ascii="Times New Roman" w:cs="Times New Roman" w:eastAsia="Times New Roman" w:hAnsi="Times New Roman"/>
          <w:b/>
          <w:bCs/>
          <w:sz w:val="24"/>
          <w:szCs w:val="24"/>
        </w:rPr>
        <w:t xml:space="preserve">O OUTRO LADO</w:t>
      </w:r>
    </w:p>
    <w:p>
      <w:pPr>
        <w:spacing w:after="80"/>
        <w:jc w:val="both"/>
      </w:pPr>
      <w:r>
        <w:rPr>
          <w:rFonts w:ascii="Times New Roman" w:cs="Times New Roman" w:eastAsia="Times New Roman" w:hAnsi="Times New Roman"/>
          <w:sz w:val="24"/>
          <w:szCs w:val="24"/>
        </w:rPr>
        <w:t xml:space="preserve">Quem defende o Moraes diz que os relatórios mostram um uso enviesado da investigação. Mas se a própria PGR, que é quem acusa no Supremo, olhou e disse que não há crime, sobra o quê? Uma acusação contra o relator de um caso em que o próprio nome do Moraes aparece em mensagens atribuídas ao Vorcaro. Mensagens que o Moraes nega ter recebido, é bom dizer.</w:t>
      </w:r>
    </w:p>
    <w:p>
      <w:pPr>
        <w:spacing w:after="40" w:before="120"/>
      </w:pPr>
      <w:r>
        <w:rPr>
          <w:rFonts w:ascii="Times New Roman" w:cs="Times New Roman" w:eastAsia="Times New Roman" w:hAnsi="Times New Roman"/>
          <w:b/>
          <w:bCs/>
          <w:sz w:val="24"/>
          <w:szCs w:val="24"/>
        </w:rPr>
        <w:t xml:space="preserve">MINHA OPINIÃO</w:t>
      </w:r>
    </w:p>
    <w:p>
      <w:pPr>
        <w:spacing w:after="80"/>
        <w:jc w:val="both"/>
      </w:pPr>
      <w:r>
        <w:rPr>
          <w:rFonts w:ascii="Times New Roman" w:cs="Times New Roman" w:eastAsia="Times New Roman" w:hAnsi="Times New Roman"/>
          <w:sz w:val="24"/>
          <w:szCs w:val="24"/>
        </w:rPr>
        <w:t xml:space="preserve">Na minha opinião, isso é o retrato do Supremo hoje: quem aparece citado na investigação tentando colocar sob suspeita quem investiga. E o julgamento que pode decidir se o Moraes pode ser investigado está parado desde setembro, com pedido de vista. Pra mim, o Supremo precisa decidir isso logo, em público, e com prova. Não com papel sem assinatura.</w:t>
      </w:r>
    </w:p>
    <w:p>
      <w:pPr>
        <w:spacing w:after="40" w:before="120"/>
      </w:pPr>
      <w:r>
        <w:rPr>
          <w:rFonts w:ascii="Times New Roman" w:cs="Times New Roman" w:eastAsia="Times New Roman" w:hAnsi="Times New Roman"/>
          <w:b/>
          <w:bCs/>
          <w:sz w:val="24"/>
          <w:szCs w:val="24"/>
        </w:rPr>
        <w:t xml:space="preserve">FECHAMENTO</w:t>
      </w:r>
    </w:p>
    <w:p>
      <w:pPr>
        <w:spacing w:after="80"/>
        <w:jc w:val="both"/>
      </w:pPr>
      <w:r>
        <w:rPr>
          <w:rFonts w:ascii="Times New Roman" w:cs="Times New Roman" w:eastAsia="Times New Roman" w:hAnsi="Times New Roman"/>
          <w:sz w:val="24"/>
          <w:szCs w:val="24"/>
        </w:rPr>
        <w:t xml:space="preserve">E você, confia nesse Supremo? Comenta aqui. Segue o Dr. Ryan!</w:t>
      </w:r>
    </w:p>
    <w:p>
      <w:pPr>
        <w:spacing w:after="60" w:before="200"/>
      </w:pPr>
      <w:r>
        <w:rPr>
          <w:rFonts w:ascii="Times New Roman" w:cs="Times New Roman" w:eastAsia="Times New Roman" w:hAnsi="Times New Roman"/>
          <w:b/>
          <w:bCs/>
          <w:i/>
          <w:iCs/>
          <w:sz w:val="18"/>
          <w:szCs w:val="18"/>
        </w:rPr>
        <w:t xml:space="preserve">NOTA INTERNA — NÃO LER NA GRAVAÇÃO</w:t>
      </w:r>
    </w:p>
    <w:p>
      <w:pPr>
        <w:spacing w:after="0"/>
      </w:pPr>
      <w:r>
        <w:rPr>
          <w:rFonts w:ascii="Times New Roman" w:cs="Times New Roman" w:eastAsia="Times New Roman" w:hAnsi="Times New Roman"/>
          <w:i/>
          <w:iCs/>
          <w:sz w:val="15"/>
          <w:szCs w:val="15"/>
        </w:rPr>
        <w:t xml:space="preserve">• Representação de Moraes a Fachin (ago/set 2026) contra Mendonça por improbidade, abuso de autoridade e crime de responsabilidade, por suposto direcionamento das investigações do Master e do INSS (Gazeta do Povo, CNN, Jovem Pan; em 3/9 Moraes pediu para investigar Mendonça no inquérito das fake news). Documento usado: sem cabeçalho da PF, sem assinatura de delegado, que se diz 'análise de cenário' e 'sem valor probatório' (O Tempo, Poder360). Fachin tirou do inquérito das fake news e fez petição separada. Parecer de Gonet (17/10, noticiado em 19–20/10): sem conduta enquadrável na Lei 13.869/2019; 'não apresenta condições de ter seguimento, ressalvado entendimento em contrário do Plenário' (Poder360, O Tempo, O Antagonista, Migalhas 466806). A decisão é do Plenário, sem data. CONFERIR as aspas antes de mostrar na tela.</w:t>
      </w:r>
    </w:p>
    <w:p>
      <w:pPr>
        <w:spacing w:after="0"/>
      </w:pPr>
      <w:r>
        <w:rPr>
          <w:rFonts w:ascii="Times New Roman" w:cs="Times New Roman" w:eastAsia="Times New Roman" w:hAnsi="Times New Roman"/>
          <w:i/>
          <w:iCs/>
          <w:sz w:val="15"/>
          <w:szCs w:val="15"/>
        </w:rPr>
        <w:t xml:space="preserve">• Lei 13.869/2019, art. 1º, § 1º (finalidade específica) e § 2º ('A divergência na interpretação de lei ou na avaliação de fatos e provas não configura abuso de autoridade').</w:t>
      </w:r>
    </w:p>
    <w:p>
      <w:pPr>
        <w:spacing w:after="0"/>
      </w:pPr>
      <w:r>
        <w:rPr>
          <w:rFonts w:ascii="Times New Roman" w:cs="Times New Roman" w:eastAsia="Times New Roman" w:hAnsi="Times New Roman"/>
          <w:i/>
          <w:iCs/>
          <w:sz w:val="15"/>
          <w:szCs w:val="15"/>
        </w:rPr>
        <w:t xml:space="preserve">• Pet 16.662 (se Moraes pode ser investigado pelas mensagens de Vorcaro): parada desde 15/9 por vista de Dino; o Novo pediu a anulação da vista. Mensagens de Vorcaro a contato salvo como Moraes (relatório da PF); respostas não recuperadas; STF disse (6/3/2026) que mensagens atribuídas a ele não foram enviadas a ele; Vorcaro nega autenticidade; não há investigação aberta contra Moraes.</w:t>
      </w:r>
    </w:p>
    <w:p>
      <w:pPr>
        <w:spacing w:after="0"/>
      </w:pPr>
      <w:r>
        <w:rPr>
          <w:rFonts w:ascii="Times New Roman" w:cs="Times New Roman" w:eastAsia="Times New Roman" w:hAnsi="Times New Roman"/>
          <w:i/>
          <w:iCs/>
          <w:sz w:val="15"/>
          <w:szCs w:val="15"/>
        </w:rPr>
        <w:t xml:space="preserve">• NÃO ligar nada a Flávio; não citar o inquérito sobre Willer Tomaz nem Dark Horse; não usar a manchete sobre Nikolas e Vorcaro. 'Crime' no texto refere-se à acusação de Moraes contra Mendonça. Perfil pessoal, sem impulsionar; nada novo em 25/10.</w:t>
      </w:r>
    </w:p>
    <w:p>
      <w:pPr>
        <w:pageBreakBefore/>
        <w:spacing w:after="0"/>
        <w:jc w:val="center"/>
      </w:pPr>
      <w:r>
        <w:rPr>
          <w:rFonts w:ascii="Times New Roman" w:cs="Times New Roman" w:eastAsia="Times New Roman" w:hAnsi="Times New Roman"/>
          <w:b/>
          <w:bCs/>
          <w:sz w:val="18"/>
          <w:szCs w:val="18"/>
        </w:rPr>
        <w:t xml:space="preserve">RYAN TEIXEIRA — ANÁLISES JURÍDICAS (SOLO) — 20/10/2026</w:t>
      </w:r>
    </w:p>
    <w:p>
      <w:pPr>
        <w:spacing w:after="80"/>
        <w:jc w:val="center"/>
      </w:pPr>
      <w:r>
        <w:rPr>
          <w:rFonts w:ascii="Times New Roman" w:cs="Times New Roman" w:eastAsia="Times New Roman" w:hAnsi="Times New Roman"/>
          <w:b/>
          <w:bCs/>
          <w:sz w:val="28"/>
          <w:szCs w:val="28"/>
        </w:rPr>
        <w:t xml:space="preserve">ROTEIRO 3 — DÁ PRA TIRAR UM MINISTRO DO STF? A LEI TEM CINCO MOTIVOS. E UM MINISTRO DECIDIU DIFICULTAR ISSO</w:t>
      </w:r>
    </w:p>
    <w:p>
      <w:pPr>
        <w:spacing w:after="160"/>
        <w:jc w:val="center"/>
      </w:pPr>
      <w:r>
        <w:rPr>
          <w:rFonts w:ascii="Times New Roman" w:cs="Times New Roman" w:eastAsia="Times New Roman" w:hAnsi="Times New Roman"/>
          <w:i/>
          <w:iCs/>
          <w:sz w:val="20"/>
          <w:szCs w:val="20"/>
        </w:rPr>
        <w:t xml:space="preserve">Solo · até 3 minutos · gancho → fato rápido → lei → o outro lado → opinião</w:t>
      </w:r>
    </w:p>
    <w:p>
      <w:pPr>
        <w:spacing w:after="40" w:before="120"/>
      </w:pPr>
      <w:r>
        <w:rPr>
          <w:rFonts w:ascii="Times New Roman" w:cs="Times New Roman" w:eastAsia="Times New Roman" w:hAnsi="Times New Roman"/>
          <w:b/>
          <w:bCs/>
          <w:sz w:val="24"/>
          <w:szCs w:val="24"/>
        </w:rPr>
        <w:t xml:space="preserve">GANCHO</w:t>
      </w:r>
    </w:p>
    <w:p>
      <w:pPr>
        <w:spacing w:after="80"/>
        <w:jc w:val="both"/>
      </w:pPr>
      <w:r>
        <w:rPr>
          <w:rFonts w:ascii="Times New Roman" w:cs="Times New Roman" w:eastAsia="Times New Roman" w:hAnsi="Times New Roman"/>
          <w:sz w:val="24"/>
          <w:szCs w:val="24"/>
        </w:rPr>
        <w:t xml:space="preserve">Mais de cem pedidos de impeachment contra ministros do Supremo. Nenhum andou. Nunca, na história, um ministro do STF foi afastado por impeachment. E quando o assunto ganhou força, sabe quem decidiu deixar isso mais difícil? Um ministro do próprio Supremo.</w:t>
      </w:r>
    </w:p>
    <w:p>
      <w:pPr>
        <w:spacing w:after="40" w:before="120"/>
      </w:pPr>
      <w:r>
        <w:rPr>
          <w:rFonts w:ascii="Times New Roman" w:cs="Times New Roman" w:eastAsia="Times New Roman" w:hAnsi="Times New Roman"/>
          <w:b/>
          <w:bCs/>
          <w:sz w:val="24"/>
          <w:szCs w:val="24"/>
        </w:rPr>
        <w:t xml:space="preserve">O QUE DIZ A LEI</w:t>
      </w:r>
    </w:p>
    <w:p>
      <w:pPr>
        <w:spacing w:after="80"/>
        <w:jc w:val="both"/>
      </w:pPr>
      <w:r>
        <w:rPr>
          <w:rFonts w:ascii="Times New Roman" w:cs="Times New Roman" w:eastAsia="Times New Roman" w:hAnsi="Times New Roman"/>
          <w:sz w:val="24"/>
          <w:szCs w:val="24"/>
        </w:rPr>
        <w:t xml:space="preserve">Primeiro: presidente da República não tira ministro do STF. Quem julga é o Senado, pelo artigo 52 da Constituição.</w:t>
      </w:r>
    </w:p>
    <w:p>
      <w:pPr>
        <w:spacing w:after="80"/>
        <w:jc w:val="both"/>
      </w:pPr>
      <w:r>
        <w:rPr>
          <w:rFonts w:ascii="Times New Roman" w:cs="Times New Roman" w:eastAsia="Times New Roman" w:hAnsi="Times New Roman"/>
          <w:sz w:val="24"/>
          <w:szCs w:val="24"/>
        </w:rPr>
        <w:t xml:space="preserve">E a Lei do Impeachment, de 1950, no artigo 39, diz quais são os crimes de responsabilidade de um ministro. São cinco: alterar voto ou decisão já proferida fora dos recursos; julgar uma causa em que ele é suspeito; fazer atividade político-partidária; ser desidioso, ou seja, largar os deveres do cargo; e agir de forma incompatível com a honra, a dignidade e o decoro do cargo.</w:t>
      </w:r>
    </w:p>
    <w:p>
      <w:pPr>
        <w:spacing w:after="80"/>
        <w:jc w:val="both"/>
      </w:pPr>
      <w:r>
        <w:rPr>
          <w:rFonts w:ascii="Times New Roman" w:cs="Times New Roman" w:eastAsia="Times New Roman" w:hAnsi="Times New Roman"/>
          <w:sz w:val="24"/>
          <w:szCs w:val="24"/>
        </w:rPr>
        <w:t xml:space="preserve">E o artigo 41 dessa lei diz que qualquer cidadão pode fazer a denúncia ao Senado. Qualquer cidadão.</w:t>
      </w:r>
    </w:p>
    <w:p>
      <w:pPr>
        <w:spacing w:after="40" w:before="120"/>
      </w:pPr>
      <w:r>
        <w:rPr>
          <w:rFonts w:ascii="Times New Roman" w:cs="Times New Roman" w:eastAsia="Times New Roman" w:hAnsi="Times New Roman"/>
          <w:b/>
          <w:bCs/>
          <w:sz w:val="24"/>
          <w:szCs w:val="24"/>
        </w:rPr>
        <w:t xml:space="preserve">O FATO</w:t>
      </w:r>
    </w:p>
    <w:p>
      <w:pPr>
        <w:spacing w:after="80"/>
        <w:jc w:val="both"/>
      </w:pPr>
      <w:r>
        <w:rPr>
          <w:rFonts w:ascii="Times New Roman" w:cs="Times New Roman" w:eastAsia="Times New Roman" w:hAnsi="Times New Roman"/>
          <w:sz w:val="24"/>
          <w:szCs w:val="24"/>
        </w:rPr>
        <w:t xml:space="preserve">Em dezembro do ano passado, o ministro Gilmar Mendes deu uma liminar que dizia que só o procurador-geral da República poderia pedir o impeachment de ministro. E aumentou o número de votos necessários no Senado só pra abrir o processo: de maioria simples para dois terços.</w:t>
      </w:r>
    </w:p>
    <w:p>
      <w:pPr>
        <w:spacing w:after="80"/>
        <w:jc w:val="both"/>
      </w:pPr>
      <w:r>
        <w:rPr>
          <w:rFonts w:ascii="Times New Roman" w:cs="Times New Roman" w:eastAsia="Times New Roman" w:hAnsi="Times New Roman"/>
          <w:sz w:val="24"/>
          <w:szCs w:val="24"/>
        </w:rPr>
        <w:t xml:space="preserve">O Senado reagiu, e o Gilmar recuou numa parte: o cidadão voltou a poder pedir. Mas o resto continua valendo, numa decisão de um ministro só, que o plenário do Supremo nunca confirmou.</w:t>
      </w:r>
    </w:p>
    <w:p>
      <w:pPr>
        <w:spacing w:after="40" w:before="120"/>
      </w:pPr>
      <w:r>
        <w:rPr>
          <w:rFonts w:ascii="Times New Roman" w:cs="Times New Roman" w:eastAsia="Times New Roman" w:hAnsi="Times New Roman"/>
          <w:b/>
          <w:bCs/>
          <w:sz w:val="24"/>
          <w:szCs w:val="24"/>
        </w:rPr>
        <w:t xml:space="preserve">OS PEDIDOS</w:t>
      </w:r>
    </w:p>
    <w:p>
      <w:pPr>
        <w:spacing w:after="80"/>
        <w:jc w:val="both"/>
      </w:pPr>
      <w:r>
        <w:rPr>
          <w:rFonts w:ascii="Times New Roman" w:cs="Times New Roman" w:eastAsia="Times New Roman" w:hAnsi="Times New Roman"/>
          <w:sz w:val="24"/>
          <w:szCs w:val="24"/>
        </w:rPr>
        <w:t xml:space="preserve">E o que os pedidos apontam? Contra o Moraes, falta de decoro, por causa das mensagens atribuídas ao Vorcaro e do contrato do escritório da esposa dele com o banco. Contra o Dino, atividade político-partidária. Contra o Toffoli, suspeição no caso Master. São acusações de quem pediu. Quem decide é o Senado.</w:t>
      </w:r>
    </w:p>
    <w:p>
      <w:pPr>
        <w:spacing w:after="40" w:before="120"/>
      </w:pPr>
      <w:r>
        <w:rPr>
          <w:rFonts w:ascii="Times New Roman" w:cs="Times New Roman" w:eastAsia="Times New Roman" w:hAnsi="Times New Roman"/>
          <w:b/>
          <w:bCs/>
          <w:sz w:val="24"/>
          <w:szCs w:val="24"/>
        </w:rPr>
        <w:t xml:space="preserve">O OUTRO LADO</w:t>
      </w:r>
    </w:p>
    <w:p>
      <w:pPr>
        <w:spacing w:after="80"/>
        <w:jc w:val="both"/>
      </w:pPr>
      <w:r>
        <w:rPr>
          <w:rFonts w:ascii="Times New Roman" w:cs="Times New Roman" w:eastAsia="Times New Roman" w:hAnsi="Times New Roman"/>
          <w:sz w:val="24"/>
          <w:szCs w:val="24"/>
        </w:rPr>
        <w:t xml:space="preserve">Quem defende a liminar diz que ministro não pode sofrer impeachment por causa do conteúdo das suas decisões. E, nisso, eu concordo: juiz não pode ser punido por interpretar a lei. Mas os cinco motivos da lei não são sobre interpretar. São sobre conduta.</w:t>
      </w:r>
    </w:p>
    <w:p>
      <w:pPr>
        <w:spacing w:after="40" w:before="120"/>
      </w:pPr>
      <w:r>
        <w:rPr>
          <w:rFonts w:ascii="Times New Roman" w:cs="Times New Roman" w:eastAsia="Times New Roman" w:hAnsi="Times New Roman"/>
          <w:b/>
          <w:bCs/>
          <w:sz w:val="24"/>
          <w:szCs w:val="24"/>
        </w:rPr>
        <w:t xml:space="preserve">MINHA OPINIÃO</w:t>
      </w:r>
    </w:p>
    <w:p>
      <w:pPr>
        <w:spacing w:after="80"/>
        <w:jc w:val="both"/>
      </w:pPr>
      <w:r>
        <w:rPr>
          <w:rFonts w:ascii="Times New Roman" w:cs="Times New Roman" w:eastAsia="Times New Roman" w:hAnsi="Times New Roman"/>
          <w:sz w:val="24"/>
          <w:szCs w:val="24"/>
        </w:rPr>
        <w:t xml:space="preserve">Na minha opinião, o ministro que pode ser julgado não pode ser o mesmo que decide as regras do próprio julgamento. Isso tem nome no Direito: ninguém pode ser juiz em causa própria. A lei é do Congresso. Se é pra mudar, quem muda é o Congresso.</w:t>
      </w:r>
    </w:p>
    <w:p>
      <w:pPr>
        <w:spacing w:after="40" w:before="120"/>
      </w:pPr>
      <w:r>
        <w:rPr>
          <w:rFonts w:ascii="Times New Roman" w:cs="Times New Roman" w:eastAsia="Times New Roman" w:hAnsi="Times New Roman"/>
          <w:b/>
          <w:bCs/>
          <w:sz w:val="24"/>
          <w:szCs w:val="24"/>
        </w:rPr>
        <w:t xml:space="preserve">FECHAMENTO</w:t>
      </w:r>
    </w:p>
    <w:p>
      <w:pPr>
        <w:spacing w:after="80"/>
        <w:jc w:val="both"/>
      </w:pPr>
      <w:r>
        <w:rPr>
          <w:rFonts w:ascii="Times New Roman" w:cs="Times New Roman" w:eastAsia="Times New Roman" w:hAnsi="Times New Roman"/>
          <w:sz w:val="24"/>
          <w:szCs w:val="24"/>
        </w:rPr>
        <w:t xml:space="preserve">E você, acha que o Senado de 2027 vai ter coragem de julgar? Comenta aqui. Segue o Dr. Ryan!</w:t>
      </w:r>
    </w:p>
    <w:p>
      <w:pPr>
        <w:spacing w:after="60" w:before="200"/>
      </w:pPr>
      <w:r>
        <w:rPr>
          <w:rFonts w:ascii="Times New Roman" w:cs="Times New Roman" w:eastAsia="Times New Roman" w:hAnsi="Times New Roman"/>
          <w:b/>
          <w:bCs/>
          <w:i/>
          <w:iCs/>
          <w:sz w:val="18"/>
          <w:szCs w:val="18"/>
        </w:rPr>
        <w:t xml:space="preserve">NOTA INTERNA — NÃO LER NA GRAVAÇÃO</w:t>
      </w:r>
    </w:p>
    <w:p>
      <w:pPr>
        <w:spacing w:after="0"/>
      </w:pPr>
      <w:r>
        <w:rPr>
          <w:rFonts w:ascii="Times New Roman" w:cs="Times New Roman" w:eastAsia="Times New Roman" w:hAnsi="Times New Roman"/>
          <w:i/>
          <w:iCs/>
          <w:sz w:val="15"/>
          <w:szCs w:val="15"/>
        </w:rPr>
        <w:t xml:space="preserve">• Lei 1.079/1950, art. 39 (1 a 5), art. 41 (todo cidadão), arts. 47 e 54 (maioria simples para admissibilidade e pronúncia), art. 68 (2/3 para condenar), art. 57 (afastamento e 1/3 dos vencimentos). CF, art. 52, II e parágrafo único (Senado; condenação por 2/3; inabilitação por 8 anos). Tirar print do art. 39 no Planalto (bloqueado aqui; conferir redação literal).</w:t>
      </w:r>
    </w:p>
    <w:p>
      <w:pPr>
        <w:spacing w:after="0"/>
      </w:pPr>
      <w:r>
        <w:rPr>
          <w:rFonts w:ascii="Times New Roman" w:cs="Times New Roman" w:eastAsia="Times New Roman" w:hAnsi="Times New Roman"/>
          <w:i/>
          <w:iCs/>
          <w:sz w:val="15"/>
          <w:szCs w:val="15"/>
        </w:rPr>
        <w:t xml:space="preserve">• ADPFs 1.259 (Solidariedade) e 1.260 (AMB): liminar de Gilmar em 3/12/2025 (só PGR denuncia; 2/3 para abrir e pronunciar; suspensão do afastamento automático; vedação de impeachment pelo mérito de decisões). Em 10/12/2025 suspendeu só a exclusividade da PGR. O plenário nunca referendou; segundo relato atribuído à Folha (19–20/10/2026), Fachin quer levar ao plenário antes de fevereiro.</w:t>
      </w:r>
    </w:p>
    <w:p>
      <w:pPr>
        <w:spacing w:after="0"/>
      </w:pPr>
      <w:r>
        <w:rPr>
          <w:rFonts w:ascii="Times New Roman" w:cs="Times New Roman" w:eastAsia="Times New Roman" w:hAnsi="Times New Roman"/>
          <w:i/>
          <w:iCs/>
          <w:sz w:val="15"/>
          <w:szCs w:val="15"/>
        </w:rPr>
        <w:t xml:space="preserve">• Pedidos (alegações): Moraes — Zema/Novo (9/3/2026), Carlos Viana (1/9), Alessandro Vieira + 19 senadores (2/9, contrato do escritório de Viviane Barci com o Master; o escritório diz que o ministro analisou o contrato para verificar impedimento); Dino — 10 senadores (15/10/2025); Toffoli — Malta, Damares e Girão (14/1/2026). 109 pedidos desde 2021 (Alcolumbre); nenhum admitido.</w:t>
      </w:r>
    </w:p>
    <w:p>
      <w:pPr>
        <w:spacing w:after="0"/>
      </w:pPr>
      <w:r>
        <w:rPr>
          <w:rFonts w:ascii="Times New Roman" w:cs="Times New Roman" w:eastAsia="Times New Roman" w:hAnsi="Times New Roman"/>
          <w:i/>
          <w:iCs/>
          <w:sz w:val="15"/>
          <w:szCs w:val="15"/>
        </w:rPr>
        <w:t xml:space="preserve">• NÃO dizer que 'só a PGR pode pedir' (caiu em 10/12/2025). NÃO afirmar que algum ministro cometeu crime: o texto atribui aos pedidos. Moraes: respostas não recuperadas; não há investigação aberta contra ele; Fachin arquivou em 9/10 pedido de dois advogados por ilegitimidade (sem mérito).</w:t>
      </w:r>
    </w:p>
    <w:p>
      <w:pPr>
        <w:spacing w:after="0"/>
      </w:pPr>
      <w:r>
        <w:rPr>
          <w:rFonts w:ascii="Times New Roman" w:cs="Times New Roman" w:eastAsia="Times New Roman" w:hAnsi="Times New Roman"/>
          <w:i/>
          <w:iCs/>
          <w:sz w:val="15"/>
          <w:szCs w:val="15"/>
        </w:rPr>
        <w:t xml:space="preserve">• 🟡 Comentários: 'Gilmar só protegeu juízes pelo conteúdo das decisões' — o vídeo concorda com essa parte. Não citar a fala de Eduardo ('expurgar') nem dizer que presidente tira ministro.</w:t>
      </w:r>
    </w:p>
    <w:p>
      <w:pPr>
        <w:spacing w:after="0"/>
      </w:pPr>
      <w:r>
        <w:rPr>
          <w:rFonts w:ascii="Times New Roman" w:cs="Times New Roman" w:eastAsia="Times New Roman" w:hAnsi="Times New Roman"/>
          <w:i/>
          <w:iCs/>
          <w:sz w:val="15"/>
          <w:szCs w:val="15"/>
        </w:rPr>
        <w:t xml:space="preserve">• Perfil pessoal, sem impulsionar; nada novo em 25/10.</w:t>
      </w:r>
    </w:p>
    <w:p>
      <w:pPr>
        <w:pageBreakBefore/>
        <w:spacing w:after="0"/>
        <w:jc w:val="center"/>
      </w:pPr>
      <w:r>
        <w:rPr>
          <w:rFonts w:ascii="Times New Roman" w:cs="Times New Roman" w:eastAsia="Times New Roman" w:hAnsi="Times New Roman"/>
          <w:b/>
          <w:bCs/>
          <w:sz w:val="18"/>
          <w:szCs w:val="18"/>
        </w:rPr>
        <w:t xml:space="preserve">RYAN TEIXEIRA — ANÁLISES JURÍDICAS (SOLO) — 20/10/2026</w:t>
      </w:r>
    </w:p>
    <w:p>
      <w:pPr>
        <w:spacing w:after="80"/>
        <w:jc w:val="center"/>
      </w:pPr>
      <w:r>
        <w:rPr>
          <w:rFonts w:ascii="Times New Roman" w:cs="Times New Roman" w:eastAsia="Times New Roman" w:hAnsi="Times New Roman"/>
          <w:b/>
          <w:bCs/>
          <w:sz w:val="28"/>
          <w:szCs w:val="28"/>
        </w:rPr>
        <w:t xml:space="preserve">ROTEIRO 4 — FLÁVIO VOTOU A FAVOR DO FIM DA 6X1. MESMO ASSIM, O TSE LIBEROU PROPAGANDA DIZENDO QUE ELE QUER CORTAR SEUS DIREITOS</w:t>
      </w:r>
    </w:p>
    <w:p>
      <w:pPr>
        <w:spacing w:after="160"/>
        <w:jc w:val="center"/>
      </w:pPr>
      <w:r>
        <w:rPr>
          <w:rFonts w:ascii="Times New Roman" w:cs="Times New Roman" w:eastAsia="Times New Roman" w:hAnsi="Times New Roman"/>
          <w:i/>
          <w:iCs/>
          <w:sz w:val="20"/>
          <w:szCs w:val="20"/>
        </w:rPr>
        <w:t xml:space="preserve">Solo · até 3 minutos · gancho → fato rápido → lei → o outro lado → opinião</w:t>
      </w:r>
    </w:p>
    <w:p>
      <w:pPr>
        <w:spacing w:after="40" w:before="120"/>
      </w:pPr>
      <w:r>
        <w:rPr>
          <w:rFonts w:ascii="Times New Roman" w:cs="Times New Roman" w:eastAsia="Times New Roman" w:hAnsi="Times New Roman"/>
          <w:b/>
          <w:bCs/>
          <w:sz w:val="24"/>
          <w:szCs w:val="24"/>
        </w:rPr>
        <w:t xml:space="preserve">GANCHO</w:t>
      </w:r>
    </w:p>
    <w:p>
      <w:pPr>
        <w:spacing w:after="80"/>
        <w:jc w:val="both"/>
      </w:pPr>
      <w:r>
        <w:rPr>
          <w:rFonts w:ascii="Times New Roman" w:cs="Times New Roman" w:eastAsia="Times New Roman" w:hAnsi="Times New Roman"/>
          <w:sz w:val="24"/>
          <w:szCs w:val="24"/>
        </w:rPr>
        <w:t xml:space="preserve">O fim da escala 6x1 passou no Senado por 75 a 1. O Flávio Bolsonaro votou a favor. Mesmo assim, uma propaganda do Lula que diz que o Flávio quer cortar seus direitos continua no ar, com aval de um ministro do TSE. E outro ministro do mesmo TSE mandou tirar propaganda parecida. Afinal, qual é a regra?</w:t>
      </w:r>
    </w:p>
    <w:p>
      <w:pPr>
        <w:spacing w:after="40" w:before="120"/>
      </w:pPr>
      <w:r>
        <w:rPr>
          <w:rFonts w:ascii="Times New Roman" w:cs="Times New Roman" w:eastAsia="Times New Roman" w:hAnsi="Times New Roman"/>
          <w:b/>
          <w:bCs/>
          <w:sz w:val="24"/>
          <w:szCs w:val="24"/>
        </w:rPr>
        <w:t xml:space="preserve">O FATO</w:t>
      </w:r>
    </w:p>
    <w:p>
      <w:pPr>
        <w:spacing w:after="80"/>
        <w:jc w:val="both"/>
      </w:pPr>
      <w:r>
        <w:rPr>
          <w:rFonts w:ascii="Times New Roman" w:cs="Times New Roman" w:eastAsia="Times New Roman" w:hAnsi="Times New Roman"/>
          <w:sz w:val="24"/>
          <w:szCs w:val="24"/>
        </w:rPr>
        <w:t xml:space="preserve">O ministro André Mendonça proibiu propagandas do Lula que diziam que o Flávio é contra o fim da 6x1. Ele entendeu que era grave descontextualização: o Flávio criticou a proposta no passado, mas declarou voto e votou a favor. Já o ministro Marco Aurélio Bellizze manteve outra peça, em que o Lula diz que o Flávio quer cortar seus direitos, dizendo que é só prognóstico, um juízo crítico sobre um futuro governo. As duas decisões ainda vão ao plenário.</w:t>
      </w:r>
    </w:p>
    <w:p>
      <w:pPr>
        <w:spacing w:after="40" w:before="120"/>
      </w:pPr>
      <w:r>
        <w:rPr>
          <w:rFonts w:ascii="Times New Roman" w:cs="Times New Roman" w:eastAsia="Times New Roman" w:hAnsi="Times New Roman"/>
          <w:b/>
          <w:bCs/>
          <w:sz w:val="24"/>
          <w:szCs w:val="24"/>
        </w:rPr>
        <w:t xml:space="preserve">O QUE DIZ A LEI</w:t>
      </w:r>
    </w:p>
    <w:p>
      <w:pPr>
        <w:spacing w:after="80"/>
        <w:jc w:val="both"/>
      </w:pPr>
      <w:r>
        <w:rPr>
          <w:rFonts w:ascii="Times New Roman" w:cs="Times New Roman" w:eastAsia="Times New Roman" w:hAnsi="Times New Roman"/>
          <w:sz w:val="24"/>
          <w:szCs w:val="24"/>
        </w:rPr>
        <w:t xml:space="preserve">A regra eleitoral separa duas coisas. Opinião, crítica e previsão sobre o adversário são livres. Isso é debate democrático. Mas o Código Eleitoral, no artigo 323, pune quem divulga na campanha fato que sabe ser falso. E a resolução do TSE proíbe divulgar fato falso ou gravemente fora de contexto.</w:t>
      </w:r>
    </w:p>
    <w:p>
      <w:pPr>
        <w:spacing w:after="80"/>
        <w:jc w:val="both"/>
      </w:pPr>
      <w:r>
        <w:rPr>
          <w:rFonts w:ascii="Times New Roman" w:cs="Times New Roman" w:eastAsia="Times New Roman" w:hAnsi="Times New Roman"/>
          <w:sz w:val="24"/>
          <w:szCs w:val="24"/>
        </w:rPr>
        <w:t xml:space="preserve">Dizer que o Flávio é contra o fim da 6x1 não é previsão. É uma afirmação sobre um fato. E o fato está registrado no painel do Senado: ele votou sim.</w:t>
      </w:r>
    </w:p>
    <w:p>
      <w:pPr>
        <w:spacing w:after="40" w:before="120"/>
      </w:pPr>
      <w:r>
        <w:rPr>
          <w:rFonts w:ascii="Times New Roman" w:cs="Times New Roman" w:eastAsia="Times New Roman" w:hAnsi="Times New Roman"/>
          <w:b/>
          <w:bCs/>
          <w:sz w:val="24"/>
          <w:szCs w:val="24"/>
        </w:rPr>
        <w:t xml:space="preserve">O OUTRO LADO</w:t>
      </w:r>
    </w:p>
    <w:p>
      <w:pPr>
        <w:spacing w:after="80"/>
        <w:jc w:val="both"/>
      </w:pPr>
      <w:r>
        <w:rPr>
          <w:rFonts w:ascii="Times New Roman" w:cs="Times New Roman" w:eastAsia="Times New Roman" w:hAnsi="Times New Roman"/>
          <w:sz w:val="24"/>
          <w:szCs w:val="24"/>
        </w:rPr>
        <w:t xml:space="preserve">O argumento do outro lado é que dizer que alguém vai cortar direitos é opinião sobre o futuro. Até concordo que previsão é livre. O problema é quando a previsão é montada em cima de um fato que já não existe, pra fazer o trabalhador acreditar que o candidato votou contra ele.</w:t>
      </w:r>
    </w:p>
    <w:p>
      <w:pPr>
        <w:spacing w:after="40" w:before="120"/>
      </w:pPr>
      <w:r>
        <w:rPr>
          <w:rFonts w:ascii="Times New Roman" w:cs="Times New Roman" w:eastAsia="Times New Roman" w:hAnsi="Times New Roman"/>
          <w:b/>
          <w:bCs/>
          <w:sz w:val="24"/>
          <w:szCs w:val="24"/>
        </w:rPr>
        <w:t xml:space="preserve">MINHA OPINIÃO</w:t>
      </w:r>
    </w:p>
    <w:p>
      <w:pPr>
        <w:spacing w:after="80"/>
        <w:jc w:val="both"/>
      </w:pPr>
      <w:r>
        <w:rPr>
          <w:rFonts w:ascii="Times New Roman" w:cs="Times New Roman" w:eastAsia="Times New Roman" w:hAnsi="Times New Roman"/>
          <w:sz w:val="24"/>
          <w:szCs w:val="24"/>
        </w:rPr>
        <w:t xml:space="preserve">Na minha opinião, o TSE precisa ter uma régua só. Se não pode dizer que ele é contra, porque é falso, também não pode usar a mesma ideia com outra roupa pra enganar o eleitor. Fato é fato: 75 a 1, e o voto do Flávio foi sim.</w:t>
      </w:r>
    </w:p>
    <w:p>
      <w:pPr>
        <w:spacing w:after="40" w:before="120"/>
      </w:pPr>
      <w:r>
        <w:rPr>
          <w:rFonts w:ascii="Times New Roman" w:cs="Times New Roman" w:eastAsia="Times New Roman" w:hAnsi="Times New Roman"/>
          <w:b/>
          <w:bCs/>
          <w:sz w:val="24"/>
          <w:szCs w:val="24"/>
        </w:rPr>
        <w:t xml:space="preserve">FECHAMENTO</w:t>
      </w:r>
    </w:p>
    <w:p>
      <w:pPr>
        <w:spacing w:after="80"/>
        <w:jc w:val="both"/>
      </w:pPr>
      <w:r>
        <w:rPr>
          <w:rFonts w:ascii="Times New Roman" w:cs="Times New Roman" w:eastAsia="Times New Roman" w:hAnsi="Times New Roman"/>
          <w:sz w:val="24"/>
          <w:szCs w:val="24"/>
        </w:rPr>
        <w:t xml:space="preserve">Manda esse vídeo pra quem ainda acha que ele votou contra. Segue o Dr. Ryan!</w:t>
      </w:r>
    </w:p>
    <w:p>
      <w:pPr>
        <w:spacing w:after="60" w:before="200"/>
      </w:pPr>
      <w:r>
        <w:rPr>
          <w:rFonts w:ascii="Times New Roman" w:cs="Times New Roman" w:eastAsia="Times New Roman" w:hAnsi="Times New Roman"/>
          <w:b/>
          <w:bCs/>
          <w:i/>
          <w:iCs/>
          <w:sz w:val="18"/>
          <w:szCs w:val="18"/>
        </w:rPr>
        <w:t xml:space="preserve">NOTA INTERNA — NÃO LER NA GRAVAÇÃO</w:t>
      </w:r>
    </w:p>
    <w:p>
      <w:pPr>
        <w:spacing w:after="0"/>
      </w:pPr>
      <w:r>
        <w:rPr>
          <w:rFonts w:ascii="Times New Roman" w:cs="Times New Roman" w:eastAsia="Times New Roman" w:hAnsi="Times New Roman"/>
          <w:i/>
          <w:iCs/>
          <w:sz w:val="15"/>
          <w:szCs w:val="15"/>
        </w:rPr>
        <w:t xml:space="preserve">• PEC 221/2019 aprovada em 14/10 por 75 x 1 (só Mourão contra); Flávio votou SIM nos dois turnos (Exame; o GPT conferiu no painel nominal do Senado). Promulgada como EC 141/2026 em 16/10.</w:t>
      </w:r>
    </w:p>
    <w:p>
      <w:pPr>
        <w:spacing w:after="0"/>
      </w:pPr>
      <w:r>
        <w:rPr>
          <w:rFonts w:ascii="Times New Roman" w:cs="Times New Roman" w:eastAsia="Times New Roman" w:hAnsi="Times New Roman"/>
          <w:i/>
          <w:iCs/>
          <w:sz w:val="15"/>
          <w:szCs w:val="15"/>
        </w:rPr>
        <w:t xml:space="preserve">• Mendonça: 11/10 proibiu impulsionamento pago de vídeos de Lula sobre o tema; 15/10 proibiu propaganda de TV e rádio que atribui a Flávio posição contrária ao fim da 6x1 ('grave descontextualização'), permitindo mostrar falas antigas, sem afirmar que ele mantém a oposição; multa de R$ 10 mil (CNN, Agência Brasil). Bellizze (19/10) negou pedido de Flávio e manteve a peça de 15/10 em que Lula diz que Flávio 'quer cortar seus direitos': 'prognósticos e juízo crítico', sem fato sabidamente inverídico; vai a referendo (O Antagonista, CartaCapital, Conjur 20/10). CONFERIR se o plenário já decidiu antes de postar.</w:t>
      </w:r>
    </w:p>
    <w:p>
      <w:pPr>
        <w:spacing w:after="0"/>
      </w:pPr>
      <w:r>
        <w:rPr>
          <w:rFonts w:ascii="Times New Roman" w:cs="Times New Roman" w:eastAsia="Times New Roman" w:hAnsi="Times New Roman"/>
          <w:i/>
          <w:iCs/>
          <w:sz w:val="15"/>
          <w:szCs w:val="15"/>
        </w:rPr>
        <w:t xml:space="preserve">• CE, art. 323; Res.-TSE 23.610/2019, art. 9º-C; Lei 9.504/1997, art. 58 (direito de resposta).</w:t>
      </w:r>
    </w:p>
    <w:p>
      <w:pPr>
        <w:spacing w:after="0"/>
      </w:pPr>
      <w:r>
        <w:rPr>
          <w:rFonts w:ascii="Times New Roman" w:cs="Times New Roman" w:eastAsia="Times New Roman" w:hAnsi="Times New Roman"/>
          <w:i/>
          <w:iCs/>
          <w:sz w:val="15"/>
          <w:szCs w:val="15"/>
        </w:rPr>
        <w:t xml:space="preserve">• 🟡 Comentários: 'ele criticou a 6x1 antes' — resposta: criticou e depois declarou voto e votou a favor; o próprio Mendonça permitiu mostrar as falas antigas, só não afirmar que ele continua contra. Perfil pessoal, sem impulsionar; nada novo em 25/10.</w:t>
      </w:r>
    </w:p>
    <w:p>
      <w:pPr>
        <w:pageBreakBefore/>
        <w:spacing w:after="0"/>
        <w:jc w:val="center"/>
      </w:pPr>
      <w:r>
        <w:rPr>
          <w:rFonts w:ascii="Times New Roman" w:cs="Times New Roman" w:eastAsia="Times New Roman" w:hAnsi="Times New Roman"/>
          <w:b/>
          <w:bCs/>
          <w:sz w:val="18"/>
          <w:szCs w:val="18"/>
        </w:rPr>
        <w:t xml:space="preserve">RYAN TEIXEIRA — ANÁLISES JURÍDICAS (SOLO) — 20/10/2026</w:t>
      </w:r>
    </w:p>
    <w:p>
      <w:pPr>
        <w:spacing w:after="80"/>
        <w:jc w:val="center"/>
      </w:pPr>
      <w:r>
        <w:rPr>
          <w:rFonts w:ascii="Times New Roman" w:cs="Times New Roman" w:eastAsia="Times New Roman" w:hAnsi="Times New Roman"/>
          <w:b/>
          <w:bCs/>
          <w:sz w:val="28"/>
          <w:szCs w:val="28"/>
        </w:rPr>
        <w:t xml:space="preserve">ROTEIRO 5 — A 6X1 ACABOU DE VERDADE: A EMENDA FOI PROMULGADA. QUANDO MUDA O SEU CONTRATO?</w:t>
      </w:r>
    </w:p>
    <w:p>
      <w:pPr>
        <w:spacing w:after="160"/>
        <w:jc w:val="center"/>
      </w:pPr>
      <w:r>
        <w:rPr>
          <w:rFonts w:ascii="Times New Roman" w:cs="Times New Roman" w:eastAsia="Times New Roman" w:hAnsi="Times New Roman"/>
          <w:i/>
          <w:iCs/>
          <w:sz w:val="20"/>
          <w:szCs w:val="20"/>
        </w:rPr>
        <w:t xml:space="preserve">Solo · até 3 minutos · gancho → fato rápido → lei → o outro lado → opinião</w:t>
      </w:r>
    </w:p>
    <w:p>
      <w:pPr>
        <w:spacing w:after="40" w:before="120"/>
      </w:pPr>
      <w:r>
        <w:rPr>
          <w:rFonts w:ascii="Times New Roman" w:cs="Times New Roman" w:eastAsia="Times New Roman" w:hAnsi="Times New Roman"/>
          <w:b/>
          <w:bCs/>
          <w:sz w:val="24"/>
          <w:szCs w:val="24"/>
        </w:rPr>
        <w:t xml:space="preserve">GANCHO</w:t>
      </w:r>
    </w:p>
    <w:p>
      <w:pPr>
        <w:spacing w:after="80"/>
        <w:jc w:val="both"/>
      </w:pPr>
      <w:r>
        <w:rPr>
          <w:rFonts w:ascii="Times New Roman" w:cs="Times New Roman" w:eastAsia="Times New Roman" w:hAnsi="Times New Roman"/>
          <w:sz w:val="24"/>
          <w:szCs w:val="24"/>
        </w:rPr>
        <w:t xml:space="preserve">Agora é oficial: o fim da escala 6x1 virou a Emenda Constitucional 141. Mas se você vai na segunda-feira exigir duas folgas do seu patrão, calma. Tem data pra mudar, e tem coisa que muda antes do que você imagina.</w:t>
      </w:r>
    </w:p>
    <w:p>
      <w:pPr>
        <w:spacing w:after="40" w:before="120"/>
      </w:pPr>
      <w:r>
        <w:rPr>
          <w:rFonts w:ascii="Times New Roman" w:cs="Times New Roman" w:eastAsia="Times New Roman" w:hAnsi="Times New Roman"/>
          <w:b/>
          <w:bCs/>
          <w:sz w:val="24"/>
          <w:szCs w:val="24"/>
        </w:rPr>
        <w:t xml:space="preserve">O FATO</w:t>
      </w:r>
    </w:p>
    <w:p>
      <w:pPr>
        <w:spacing w:after="80"/>
        <w:jc w:val="both"/>
      </w:pPr>
      <w:r>
        <w:rPr>
          <w:rFonts w:ascii="Times New Roman" w:cs="Times New Roman" w:eastAsia="Times New Roman" w:hAnsi="Times New Roman"/>
          <w:sz w:val="24"/>
          <w:szCs w:val="24"/>
        </w:rPr>
        <w:t xml:space="preserve">O Congresso promulgou a emenda no dia 16 de outubro. Ela garante dois dias de descanso remunerado por semana, um deles preferencialmente no domingo, e reduz a jornada máxima de 44 pra 40 horas semanais, sem redução de salário.</w:t>
      </w:r>
    </w:p>
    <w:p>
      <w:pPr>
        <w:spacing w:after="40" w:before="120"/>
      </w:pPr>
      <w:r>
        <w:rPr>
          <w:rFonts w:ascii="Times New Roman" w:cs="Times New Roman" w:eastAsia="Times New Roman" w:hAnsi="Times New Roman"/>
          <w:b/>
          <w:bCs/>
          <w:sz w:val="24"/>
          <w:szCs w:val="24"/>
        </w:rPr>
        <w:t xml:space="preserve">O QUE DIZ A LEI</w:t>
      </w:r>
    </w:p>
    <w:p>
      <w:pPr>
        <w:spacing w:after="80"/>
        <w:jc w:val="both"/>
      </w:pPr>
      <w:r>
        <w:rPr>
          <w:rFonts w:ascii="Times New Roman" w:cs="Times New Roman" w:eastAsia="Times New Roman" w:hAnsi="Times New Roman"/>
          <w:sz w:val="24"/>
          <w:szCs w:val="24"/>
        </w:rPr>
        <w:t xml:space="preserve">A emenda tem uma transição. Primeira etapa: 60 dias depois da promulgação, ou seja, em meados de dezembro, a jornada máxima cai pra 42 horas, já com os dois dias de descanso. Segunda etapa: 12 meses depois disso, cai pra 40 horas.</w:t>
      </w:r>
    </w:p>
    <w:p>
      <w:pPr>
        <w:spacing w:after="80"/>
        <w:jc w:val="both"/>
      </w:pPr>
      <w:r>
        <w:rPr>
          <w:rFonts w:ascii="Times New Roman" w:cs="Times New Roman" w:eastAsia="Times New Roman" w:hAnsi="Times New Roman"/>
          <w:sz w:val="24"/>
          <w:szCs w:val="24"/>
        </w:rPr>
        <w:t xml:space="preserve">E o salário? A emenda proíbe reduzir o salário por causa da redução da jornada. Quem ganha três mil reais por 44 horas continua ganhando três mil por 42 e depois por 40.</w:t>
      </w:r>
    </w:p>
    <w:p>
      <w:pPr>
        <w:spacing w:after="80"/>
        <w:jc w:val="both"/>
      </w:pPr>
      <w:r>
        <w:rPr>
          <w:rFonts w:ascii="Times New Roman" w:cs="Times New Roman" w:eastAsia="Times New Roman" w:hAnsi="Times New Roman"/>
          <w:sz w:val="24"/>
          <w:szCs w:val="24"/>
        </w:rPr>
        <w:t xml:space="preserve">E a hora extra? Depois de cada etapa, o que passar do novo limite é hora extra, com pelo menos 50% a mais, como já manda a Constituição.</w:t>
      </w:r>
    </w:p>
    <w:p>
      <w:pPr>
        <w:spacing w:after="40" w:before="120"/>
      </w:pPr>
      <w:r>
        <w:rPr>
          <w:rFonts w:ascii="Times New Roman" w:cs="Times New Roman" w:eastAsia="Times New Roman" w:hAnsi="Times New Roman"/>
          <w:b/>
          <w:bCs/>
          <w:sz w:val="24"/>
          <w:szCs w:val="24"/>
        </w:rPr>
        <w:t xml:space="preserve">O OUTRO LADO</w:t>
      </w:r>
    </w:p>
    <w:p>
      <w:pPr>
        <w:spacing w:after="80"/>
        <w:jc w:val="both"/>
      </w:pPr>
      <w:r>
        <w:rPr>
          <w:rFonts w:ascii="Times New Roman" w:cs="Times New Roman" w:eastAsia="Times New Roman" w:hAnsi="Times New Roman"/>
          <w:sz w:val="24"/>
          <w:szCs w:val="24"/>
        </w:rPr>
        <w:t xml:space="preserve">Muita gente vai dizer que agora ninguém pode trabalhar no sábado ou no domingo. Não é isso. A empresa pode continuar funcionando. O que muda é que cada trabalhador tem direito a dois dias de descanso por semana e a uma jornada menor. A empresa vai ter que reorganizar escala, contratar ou pagar hora extra.</w:t>
      </w:r>
    </w:p>
    <w:p>
      <w:pPr>
        <w:spacing w:after="40" w:before="120"/>
      </w:pPr>
      <w:r>
        <w:rPr>
          <w:rFonts w:ascii="Times New Roman" w:cs="Times New Roman" w:eastAsia="Times New Roman" w:hAnsi="Times New Roman"/>
          <w:b/>
          <w:bCs/>
          <w:sz w:val="24"/>
          <w:szCs w:val="24"/>
        </w:rPr>
        <w:t xml:space="preserve">MINHA OPINIÃO</w:t>
      </w:r>
    </w:p>
    <w:p>
      <w:pPr>
        <w:spacing w:after="80"/>
        <w:jc w:val="both"/>
      </w:pPr>
      <w:r>
        <w:rPr>
          <w:rFonts w:ascii="Times New Roman" w:cs="Times New Roman" w:eastAsia="Times New Roman" w:hAnsi="Times New Roman"/>
          <w:sz w:val="24"/>
          <w:szCs w:val="24"/>
        </w:rPr>
        <w:t xml:space="preserve">Se você é empregado: até dezembro vale a regra atual, de 44 horas. Se você é empresário: comece a refazer a escala agora, porque em dezembro quem estiver fora da regra vai acumular passivo trabalhista. Na minha opinião, o descanso é justo. A conta é que precisa ser dividida de forma responsável, e não cair só em cima de quem gera emprego.</w:t>
      </w:r>
    </w:p>
    <w:p>
      <w:pPr>
        <w:spacing w:after="40" w:before="120"/>
      </w:pPr>
      <w:r>
        <w:rPr>
          <w:rFonts w:ascii="Times New Roman" w:cs="Times New Roman" w:eastAsia="Times New Roman" w:hAnsi="Times New Roman"/>
          <w:b/>
          <w:bCs/>
          <w:sz w:val="24"/>
          <w:szCs w:val="24"/>
        </w:rPr>
        <w:t xml:space="preserve">FECHAMENTO</w:t>
      </w:r>
    </w:p>
    <w:p>
      <w:pPr>
        <w:spacing w:after="80"/>
        <w:jc w:val="both"/>
      </w:pPr>
      <w:r>
        <w:rPr>
          <w:rFonts w:ascii="Times New Roman" w:cs="Times New Roman" w:eastAsia="Times New Roman" w:hAnsi="Times New Roman"/>
          <w:sz w:val="24"/>
          <w:szCs w:val="24"/>
        </w:rPr>
        <w:t xml:space="preserve">Salva esse vídeo e manda pra quem trabalha na 6x1. Segue o Dr. Ryan!</w:t>
      </w:r>
    </w:p>
    <w:p>
      <w:pPr>
        <w:spacing w:after="60" w:before="200"/>
      </w:pPr>
      <w:r>
        <w:rPr>
          <w:rFonts w:ascii="Times New Roman" w:cs="Times New Roman" w:eastAsia="Times New Roman" w:hAnsi="Times New Roman"/>
          <w:b/>
          <w:bCs/>
          <w:i/>
          <w:iCs/>
          <w:sz w:val="18"/>
          <w:szCs w:val="18"/>
        </w:rPr>
        <w:t xml:space="preserve">NOTA INTERNA — NÃO LER NA GRAVAÇÃO</w:t>
      </w:r>
    </w:p>
    <w:p>
      <w:pPr>
        <w:spacing w:after="0"/>
      </w:pPr>
      <w:r>
        <w:rPr>
          <w:rFonts w:ascii="Times New Roman" w:cs="Times New Roman" w:eastAsia="Times New Roman" w:hAnsi="Times New Roman"/>
          <w:i/>
          <w:iCs/>
          <w:sz w:val="15"/>
          <w:szCs w:val="15"/>
        </w:rPr>
        <w:t xml:space="preserve">• EC 141/2026 (origem: PEC 221/2019), promulgada em sessão solene em 16/10/2026 (TV Senado, Agência Senado, O Tempo, Gazeta do Povo). 1ª etapa: 42 horas e dois dias de repouso 60 dias após a publicação (15 ou 16/12/2026, conforme a fonte: por isso o texto diz 'meados de dezembro'); 2ª etapa: 40 horas 12 meses depois (por volta de dez/2027). Proibida a redução salarial, inclusive dos pisos.</w:t>
      </w:r>
    </w:p>
    <w:p>
      <w:pPr>
        <w:spacing w:after="0"/>
      </w:pPr>
      <w:r>
        <w:rPr>
          <w:rFonts w:ascii="Times New Roman" w:cs="Times New Roman" w:eastAsia="Times New Roman" w:hAnsi="Times New Roman"/>
          <w:i/>
          <w:iCs/>
          <w:sz w:val="15"/>
          <w:szCs w:val="15"/>
        </w:rPr>
        <w:t xml:space="preserve">• CF, art. 7º, XIII e XV (alterados), XVI (hora extra de no mínimo 50%). 'Pode continuar funcionando no sábado/domingo': a emenda fala em repouso, preferencialmente no domingo, não fecha comércio (regras de funcionamento são locais e setoriais).</w:t>
      </w:r>
    </w:p>
    <w:p>
      <w:pPr>
        <w:spacing w:after="0"/>
      </w:pPr>
      <w:r>
        <w:rPr>
          <w:rFonts w:ascii="Times New Roman" w:cs="Times New Roman" w:eastAsia="Times New Roman" w:hAnsi="Times New Roman"/>
          <w:i/>
          <w:iCs/>
          <w:sz w:val="15"/>
          <w:szCs w:val="15"/>
        </w:rPr>
        <w:t xml:space="preserve">• Segundo a Rádio Senado, há exceção para empregado com diploma de nível superior e salário acima de 2,5x o teto do INSS: não citar sem conferir o texto final. Na fase de 42 horas, um guia técnico diz que acordo coletivo pode ampliar a jornada diária: não é entendimento consolidado, não citar.</w:t>
      </w:r>
    </w:p>
    <w:p>
      <w:pPr>
        <w:spacing w:after="0"/>
      </w:pPr>
      <w:r>
        <w:rPr>
          <w:rFonts w:ascii="Times New Roman" w:cs="Times New Roman" w:eastAsia="Times New Roman" w:hAnsi="Times New Roman"/>
          <w:i/>
          <w:iCs/>
          <w:sz w:val="15"/>
          <w:szCs w:val="15"/>
        </w:rPr>
        <w:t xml:space="preserve">• Tema evergreen de alto interesse; complementa o vídeo da 6x1 de 15/10 (se já postou aquele, este é a atualização 'virou lei').</w:t>
      </w:r>
    </w:p>
    <w:p>
      <w:pPr>
        <w:pageBreakBefore/>
        <w:spacing w:after="0"/>
        <w:jc w:val="center"/>
      </w:pPr>
      <w:r>
        <w:rPr>
          <w:rFonts w:ascii="Times New Roman" w:cs="Times New Roman" w:eastAsia="Times New Roman" w:hAnsi="Times New Roman"/>
          <w:b/>
          <w:bCs/>
          <w:sz w:val="18"/>
          <w:szCs w:val="18"/>
        </w:rPr>
        <w:t xml:space="preserve">RYAN TEIXEIRA — ANÁLISES JURÍDICAS (SOLO) — 20/10/2026</w:t>
      </w:r>
    </w:p>
    <w:p>
      <w:pPr>
        <w:spacing w:after="80"/>
        <w:jc w:val="center"/>
      </w:pPr>
      <w:r>
        <w:rPr>
          <w:rFonts w:ascii="Times New Roman" w:cs="Times New Roman" w:eastAsia="Times New Roman" w:hAnsi="Times New Roman"/>
          <w:b/>
          <w:bCs/>
          <w:sz w:val="28"/>
          <w:szCs w:val="28"/>
        </w:rPr>
        <w:t xml:space="preserve">ROTEIRO 6 — DOMINGO DE FOLGA DA MULHER: O QUE VALE, A CLT OU O QUE O SINDICATO ASSINOU? O STF DECIDIU</w:t>
      </w:r>
    </w:p>
    <w:p>
      <w:pPr>
        <w:spacing w:after="160"/>
        <w:jc w:val="center"/>
      </w:pPr>
      <w:r>
        <w:rPr>
          <w:rFonts w:ascii="Times New Roman" w:cs="Times New Roman" w:eastAsia="Times New Roman" w:hAnsi="Times New Roman"/>
          <w:i/>
          <w:iCs/>
          <w:sz w:val="20"/>
          <w:szCs w:val="20"/>
        </w:rPr>
        <w:t xml:space="preserve">Solo · até 3 minutos · gancho → fato rápido → lei → o outro lado → opinião</w:t>
      </w:r>
    </w:p>
    <w:p>
      <w:pPr>
        <w:spacing w:after="40" w:before="120"/>
      </w:pPr>
      <w:r>
        <w:rPr>
          <w:rFonts w:ascii="Times New Roman" w:cs="Times New Roman" w:eastAsia="Times New Roman" w:hAnsi="Times New Roman"/>
          <w:b/>
          <w:bCs/>
          <w:sz w:val="24"/>
          <w:szCs w:val="24"/>
        </w:rPr>
        <w:t xml:space="preserve">GANCHO</w:t>
      </w:r>
    </w:p>
    <w:p>
      <w:pPr>
        <w:spacing w:after="80"/>
        <w:jc w:val="both"/>
      </w:pPr>
      <w:r>
        <w:rPr>
          <w:rFonts w:ascii="Times New Roman" w:cs="Times New Roman" w:eastAsia="Times New Roman" w:hAnsi="Times New Roman"/>
          <w:sz w:val="24"/>
          <w:szCs w:val="24"/>
        </w:rPr>
        <w:t xml:space="preserve">Se você trabalha no comércio, em hotel ou em restaurante e é mulher, presta atenção. A CLT fala em folga no domingo a cada 15 dias pra mulher. Mas e se a convenção do sindicato disser outra coisa? O Supremo acabou de mexer nisso.</w:t>
      </w:r>
    </w:p>
    <w:p>
      <w:pPr>
        <w:spacing w:after="40" w:before="120"/>
      </w:pPr>
      <w:r>
        <w:rPr>
          <w:rFonts w:ascii="Times New Roman" w:cs="Times New Roman" w:eastAsia="Times New Roman" w:hAnsi="Times New Roman"/>
          <w:b/>
          <w:bCs/>
          <w:sz w:val="24"/>
          <w:szCs w:val="24"/>
        </w:rPr>
        <w:t xml:space="preserve">O FATO</w:t>
      </w:r>
    </w:p>
    <w:p>
      <w:pPr>
        <w:spacing w:after="80"/>
        <w:jc w:val="both"/>
      </w:pPr>
      <w:r>
        <w:rPr>
          <w:rFonts w:ascii="Times New Roman" w:cs="Times New Roman" w:eastAsia="Times New Roman" w:hAnsi="Times New Roman"/>
          <w:sz w:val="24"/>
          <w:szCs w:val="24"/>
        </w:rPr>
        <w:t xml:space="preserve">A convenção coletiva da hotelaria de Santos garantia um domingo de folga por mês pra todo mundo, homem ou mulher. O Ministério Público do Trabalho foi à Justiça, e o Tribunal Regional do Trabalho anulou a cláusula na parte das mulheres: mandou aplicar a CLT, com domingo a cada 15 dias, e com efeito retroativo. O ministro Gilmar Mendes cassou essa decisão e mandou o TRT julgar de novo.</w:t>
      </w:r>
    </w:p>
    <w:p>
      <w:pPr>
        <w:spacing w:after="40" w:before="120"/>
      </w:pPr>
      <w:r>
        <w:rPr>
          <w:rFonts w:ascii="Times New Roman" w:cs="Times New Roman" w:eastAsia="Times New Roman" w:hAnsi="Times New Roman"/>
          <w:b/>
          <w:bCs/>
          <w:sz w:val="24"/>
          <w:szCs w:val="24"/>
        </w:rPr>
        <w:t xml:space="preserve">O QUE DIZ A LEI</w:t>
      </w:r>
    </w:p>
    <w:p>
      <w:pPr>
        <w:spacing w:after="80"/>
        <w:jc w:val="both"/>
      </w:pPr>
      <w:r>
        <w:rPr>
          <w:rFonts w:ascii="Times New Roman" w:cs="Times New Roman" w:eastAsia="Times New Roman" w:hAnsi="Times New Roman"/>
          <w:sz w:val="24"/>
          <w:szCs w:val="24"/>
        </w:rPr>
        <w:t xml:space="preserve">O artigo 386 da CLT diz que, quando a mulher trabalha aos domingos, a escala deve ser de revezamento quinzenal, favorecendo o repouso dominical.</w:t>
      </w:r>
    </w:p>
    <w:p>
      <w:pPr>
        <w:spacing w:after="80"/>
        <w:jc w:val="both"/>
      </w:pPr>
      <w:r>
        <w:rPr>
          <w:rFonts w:ascii="Times New Roman" w:cs="Times New Roman" w:eastAsia="Times New Roman" w:hAnsi="Times New Roman"/>
          <w:sz w:val="24"/>
          <w:szCs w:val="24"/>
        </w:rPr>
        <w:t xml:space="preserve">Mas a Constituição, no artigo 7º, reconhece as convenções e acordos coletivos. E o STF, no Tema 1.046, decidiu que o que é negociado coletivamente vale mais que a lei, salvo os direitos absolutamente indisponíveis.</w:t>
      </w:r>
    </w:p>
    <w:p>
      <w:pPr>
        <w:spacing w:after="80"/>
        <w:jc w:val="both"/>
      </w:pPr>
      <w:r>
        <w:rPr>
          <w:rFonts w:ascii="Times New Roman" w:cs="Times New Roman" w:eastAsia="Times New Roman" w:hAnsi="Times New Roman"/>
          <w:sz w:val="24"/>
          <w:szCs w:val="24"/>
        </w:rPr>
        <w:t xml:space="preserve">E o Gilmar separou as coisas: o descanso semanal é direito indisponível, ninguém pode tirar. Mas em que domingo esse descanso cai pode ser negociado pelo sindicato.</w:t>
      </w:r>
    </w:p>
    <w:p>
      <w:pPr>
        <w:spacing w:after="40" w:before="120"/>
      </w:pPr>
      <w:r>
        <w:rPr>
          <w:rFonts w:ascii="Times New Roman" w:cs="Times New Roman" w:eastAsia="Times New Roman" w:hAnsi="Times New Roman"/>
          <w:b/>
          <w:bCs/>
          <w:sz w:val="24"/>
          <w:szCs w:val="24"/>
        </w:rPr>
        <w:t xml:space="preserve">O OUTRO LADO</w:t>
      </w:r>
    </w:p>
    <w:p>
      <w:pPr>
        <w:spacing w:after="80"/>
        <w:jc w:val="both"/>
      </w:pPr>
      <w:r>
        <w:rPr>
          <w:rFonts w:ascii="Times New Roman" w:cs="Times New Roman" w:eastAsia="Times New Roman" w:hAnsi="Times New Roman"/>
          <w:sz w:val="24"/>
          <w:szCs w:val="24"/>
        </w:rPr>
        <w:t xml:space="preserve">O Ministério Público diz que a regra do artigo 386 é uma proteção específica da mulher e que o sindicato não poderia abrir mão dela. É um argumento sério. Mas a folga semanal continua garantida. O que mudou foi a frequência do domingo, e isso foi assinado pelo sindicato da própria categoria.</w:t>
      </w:r>
    </w:p>
    <w:p>
      <w:pPr>
        <w:spacing w:after="40" w:before="120"/>
      </w:pPr>
      <w:r>
        <w:rPr>
          <w:rFonts w:ascii="Times New Roman" w:cs="Times New Roman" w:eastAsia="Times New Roman" w:hAnsi="Times New Roman"/>
          <w:b/>
          <w:bCs/>
          <w:sz w:val="24"/>
          <w:szCs w:val="24"/>
        </w:rPr>
        <w:t xml:space="preserve">MINHA OPINIÃO</w:t>
      </w:r>
    </w:p>
    <w:p>
      <w:pPr>
        <w:spacing w:after="80"/>
        <w:jc w:val="both"/>
      </w:pPr>
      <w:r>
        <w:rPr>
          <w:rFonts w:ascii="Times New Roman" w:cs="Times New Roman" w:eastAsia="Times New Roman" w:hAnsi="Times New Roman"/>
          <w:sz w:val="24"/>
          <w:szCs w:val="24"/>
        </w:rPr>
        <w:t xml:space="preserve">Na prática: se você é empregada, leia a convenção da sua categoria, porque é ela que vai dizer a frequência do seu domingo. Se você é empresário, só aplique escala diferente da CLT se estiver escrita na convenção ou no acordo coletivo. Acordo individual não serve. Na minha opinião, a decisão está certa: segurança jurídica é cumprir o que foi negociado.</w:t>
      </w:r>
    </w:p>
    <w:p>
      <w:pPr>
        <w:spacing w:after="40" w:before="120"/>
      </w:pPr>
      <w:r>
        <w:rPr>
          <w:rFonts w:ascii="Times New Roman" w:cs="Times New Roman" w:eastAsia="Times New Roman" w:hAnsi="Times New Roman"/>
          <w:b/>
          <w:bCs/>
          <w:sz w:val="24"/>
          <w:szCs w:val="24"/>
        </w:rPr>
        <w:t xml:space="preserve">FECHAMENTO</w:t>
      </w:r>
    </w:p>
    <w:p>
      <w:pPr>
        <w:spacing w:after="80"/>
        <w:jc w:val="both"/>
      </w:pPr>
      <w:r>
        <w:rPr>
          <w:rFonts w:ascii="Times New Roman" w:cs="Times New Roman" w:eastAsia="Times New Roman" w:hAnsi="Times New Roman"/>
          <w:sz w:val="24"/>
          <w:szCs w:val="24"/>
        </w:rPr>
        <w:t xml:space="preserve">Manda esse vídeo pra quem trabalha aos domingos. Segue o Dr. Ryan!</w:t>
      </w:r>
    </w:p>
    <w:p>
      <w:pPr>
        <w:spacing w:after="60" w:before="200"/>
      </w:pPr>
      <w:r>
        <w:rPr>
          <w:rFonts w:ascii="Times New Roman" w:cs="Times New Roman" w:eastAsia="Times New Roman" w:hAnsi="Times New Roman"/>
          <w:b/>
          <w:bCs/>
          <w:i/>
          <w:iCs/>
          <w:sz w:val="18"/>
          <w:szCs w:val="18"/>
        </w:rPr>
        <w:t xml:space="preserve">NOTA INTERNA — NÃO LER NA GRAVAÇÃO</w:t>
      </w:r>
    </w:p>
    <w:p>
      <w:pPr>
        <w:spacing w:after="0"/>
      </w:pPr>
      <w:r>
        <w:rPr>
          <w:rFonts w:ascii="Times New Roman" w:cs="Times New Roman" w:eastAsia="Times New Roman" w:hAnsi="Times New Roman"/>
          <w:i/>
          <w:iCs/>
          <w:sz w:val="15"/>
          <w:szCs w:val="15"/>
        </w:rPr>
        <w:t xml:space="preserve">• STF, Reclamação 95.060, Gilmar Mendes (noticiado em 16/10/2026; data de assinatura possivelmente 8/10): cassou acórdão do TRT-2 em ação do MPT que anulara, para as mulheres, cláusula da convenção 2024/2025 da hotelaria de Santos e região (um domingo de folga por mês para todos) e aplicara o art. 386 da CLT com efeito retroativo; fundamento: Tema 1.046 (repouso semanal é indisponível; a periodicidade do domingo da mulher, não); TRT-2 deve julgar de novo (Migalhas 466603, Gazeta do Povo, Juristas). Cabe agravo regimental.</w:t>
      </w:r>
    </w:p>
    <w:p>
      <w:pPr>
        <w:spacing w:after="0"/>
      </w:pPr>
      <w:r>
        <w:rPr>
          <w:rFonts w:ascii="Times New Roman" w:cs="Times New Roman" w:eastAsia="Times New Roman" w:hAnsi="Times New Roman"/>
          <w:i/>
          <w:iCs/>
          <w:sz w:val="15"/>
          <w:szCs w:val="15"/>
        </w:rPr>
        <w:t xml:space="preserve">• CLT, art. 386 ('Havendo trabalho aos domingos, será organizada uma escala de revezamento quinzenal, que favoreça o repouso dominical'); CF, art. 7º, XV e XXVI; CLT, art. 611-A; Tema 1.046 (acordos e convenções COLETIVOS; não vale para acordo individual — por isso o texto diz 'acordo individual não serve').</w:t>
      </w:r>
    </w:p>
    <w:p>
      <w:pPr>
        <w:spacing w:after="0"/>
      </w:pPr>
      <w:r>
        <w:rPr>
          <w:rFonts w:ascii="Times New Roman" w:cs="Times New Roman" w:eastAsia="Times New Roman" w:hAnsi="Times New Roman"/>
          <w:i/>
          <w:iCs/>
          <w:sz w:val="15"/>
          <w:szCs w:val="15"/>
        </w:rPr>
        <w:t xml:space="preserve">• Decisão individual em reclamação, ainda sujeita a recurso; não é tese nova do plenário. Tema neutro, útil para empregado e empresário.</w:t>
      </w:r>
    </w:p>
    <w:sectPr>
      <w:footerReference w:type="default" r:id="rId7"/>
      <w:pgSz w:w="12240" w:h="15840" w:orient="portrait"/>
      <w:pgMar w:top="560" w:right="1000" w:bottom="56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2026-10-20T13:44:59.196Z</dcterms:created>
  <dcterms:modified xsi:type="dcterms:W3CDTF">2026-10-20T13:44:59.196Z</dcterms:modified>
</cp:coreProperties>
</file>

<file path=docProps/custom.xml><?xml version="1.0" encoding="utf-8"?>
<Properties xmlns="http://schemas.openxmlformats.org/officeDocument/2006/custom-properties" xmlns:vt="http://schemas.openxmlformats.org/officeDocument/2006/docPropsVTypes"/>
</file>