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jc w:val="center"/>
      </w:pPr>
      <w:r>
        <w:rPr>
          <w:rFonts w:ascii="Times New Roman" w:cs="Times New Roman" w:eastAsia="Times New Roman" w:hAnsi="Times New Roman"/>
          <w:b/>
          <w:bCs/>
          <w:sz w:val="18"/>
          <w:szCs w:val="18"/>
        </w:rPr>
        <w:t xml:space="preserve">RYAN TEIXEIRA — ROTEIROS PARA YOUTUBE — 11/10/2026</w:t>
      </w:r>
    </w:p>
    <w:p>
      <w:pPr>
        <w:spacing w:after="80"/>
        <w:jc w:val="center"/>
      </w:pPr>
      <w:r>
        <w:rPr>
          <w:rFonts w:ascii="Times New Roman" w:cs="Times New Roman" w:eastAsia="Times New Roman" w:hAnsi="Times New Roman"/>
          <w:b/>
          <w:bCs/>
          <w:sz w:val="28"/>
          <w:szCs w:val="28"/>
        </w:rPr>
        <w:t xml:space="preserve">ROTEIRO 1 — MORAES MANDOU PRENDER O EDUARDO BOLSONARO. EU LI A CONDENAÇÃO: ELA PARA EM PÉ?</w:t>
      </w:r>
    </w:p>
    <w:p>
      <w:pPr>
        <w:spacing w:after="160"/>
        <w:jc w:val="center"/>
      </w:pPr>
      <w:r>
        <w:rPr>
          <w:rFonts w:ascii="Times New Roman" w:cs="Times New Roman" w:eastAsia="Times New Roman" w:hAnsi="Times New Roman"/>
          <w:i/>
          <w:iCs/>
          <w:sz w:val="20"/>
          <w:szCs w:val="20"/>
        </w:rPr>
        <w:t xml:space="preserve">YouTube · solo · cerca de 13 a 15 minutos · documentos na tela pelo OBS</w:t>
      </w:r>
    </w:p>
    <w:p>
      <w:pPr>
        <w:spacing w:after="80" w:before="200"/>
      </w:pPr>
      <w:r>
        <w:rPr>
          <w:rFonts w:ascii="Times New Roman" w:cs="Times New Roman" w:eastAsia="Times New Roman" w:hAnsi="Times New Roman"/>
          <w:b/>
          <w:bCs/>
          <w:sz w:val="24"/>
          <w:szCs w:val="24"/>
        </w:rPr>
        <w:t xml:space="preserve">ABERTURA (GANCHO)</w:t>
      </w:r>
    </w:p>
    <w:p>
      <w:pPr>
        <w:spacing w:after="120"/>
        <w:jc w:val="both"/>
      </w:pPr>
      <w:r>
        <w:rPr>
          <w:rFonts w:ascii="Times New Roman" w:cs="Times New Roman" w:eastAsia="Times New Roman" w:hAnsi="Times New Roman"/>
          <w:sz w:val="24"/>
          <w:szCs w:val="24"/>
        </w:rPr>
        <w:t xml:space="preserve">O ministro Alexandre de Moraes mandou prender o Eduardo Bolsonaro e cancelar todos os passaportes dele. Só que o Eduardo mora nos Estados Unidos.</w:t>
      </w:r>
    </w:p>
    <w:p>
      <w:pPr>
        <w:spacing w:after="100"/>
        <w:ind w:left="360"/>
      </w:pPr>
      <w:r>
        <w:rPr>
          <w:rFonts w:ascii="Times New Roman" w:cs="Times New Roman" w:eastAsia="Times New Roman" w:hAnsi="Times New Roman"/>
          <w:i/>
          <w:iCs/>
          <w:color w:val="555555"/>
          <w:sz w:val="20"/>
          <w:szCs w:val="20"/>
        </w:rPr>
        <w:t xml:space="preserve">[NA TELA: manchete do mandado de prisão (Agência Brasil ou Conjur, 8/10/2026)]</w:t>
      </w:r>
    </w:p>
    <w:p>
      <w:pPr>
        <w:spacing w:after="120"/>
        <w:jc w:val="both"/>
      </w:pPr>
      <w:r>
        <w:rPr>
          <w:rFonts w:ascii="Times New Roman" w:cs="Times New Roman" w:eastAsia="Times New Roman" w:hAnsi="Times New Roman"/>
          <w:sz w:val="24"/>
          <w:szCs w:val="24"/>
        </w:rPr>
        <w:t xml:space="preserve">Então ficam três perguntas. Ele vai ser preso? Os Estados Unidos vão mandar ele de volta? E a pergunta que quase ninguém faz: essa condenação para em pé juridicamente?</w:t>
      </w:r>
    </w:p>
    <w:p>
      <w:pPr>
        <w:spacing w:after="120"/>
        <w:jc w:val="both"/>
      </w:pPr>
      <w:r>
        <w:rPr>
          <w:rFonts w:ascii="Times New Roman" w:cs="Times New Roman" w:eastAsia="Times New Roman" w:hAnsi="Times New Roman"/>
          <w:sz w:val="24"/>
          <w:szCs w:val="24"/>
        </w:rPr>
        <w:t xml:space="preserve">Eu sou o Dr. Ryan, sou advogado. Neste vídeo eu vou te mostrar o que diz a acusação, o que o STF decidiu, o que diz o Código Penal e o tratado de extradição, e no final eu te dou a minha opinião. Sem manchete, com documento.</w:t>
      </w:r>
    </w:p>
    <w:p>
      <w:pPr>
        <w:spacing w:after="80" w:before="200"/>
      </w:pPr>
      <w:r>
        <w:rPr>
          <w:rFonts w:ascii="Times New Roman" w:cs="Times New Roman" w:eastAsia="Times New Roman" w:hAnsi="Times New Roman"/>
          <w:b/>
          <w:bCs/>
          <w:sz w:val="24"/>
          <w:szCs w:val="24"/>
        </w:rPr>
        <w:t xml:space="preserve">1. COMO CHEGAMOS ATÉ AQUI</w:t>
      </w:r>
    </w:p>
    <w:p>
      <w:pPr>
        <w:spacing w:after="120"/>
        <w:jc w:val="both"/>
      </w:pPr>
      <w:r>
        <w:rPr>
          <w:rFonts w:ascii="Times New Roman" w:cs="Times New Roman" w:eastAsia="Times New Roman" w:hAnsi="Times New Roman"/>
          <w:sz w:val="24"/>
          <w:szCs w:val="24"/>
        </w:rPr>
        <w:t xml:space="preserve">Vamos à linha do tempo, porque ela explica muita coisa.</w:t>
      </w:r>
    </w:p>
    <w:p>
      <w:pPr>
        <w:spacing w:after="120"/>
        <w:jc w:val="both"/>
      </w:pPr>
      <w:r>
        <w:rPr>
          <w:rFonts w:ascii="Times New Roman" w:cs="Times New Roman" w:eastAsia="Times New Roman" w:hAnsi="Times New Roman"/>
          <w:sz w:val="24"/>
          <w:szCs w:val="24"/>
        </w:rPr>
        <w:t xml:space="preserve">Em 2025, o Eduardo, ainda deputado federal, se mudou para os Estados Unidos. E passou a dizer publicamente que trabalhava junto ao governo americano por sanções contra ministros do Supremo.</w:t>
      </w:r>
    </w:p>
    <w:p>
      <w:pPr>
        <w:spacing w:after="120"/>
        <w:jc w:val="both"/>
      </w:pPr>
      <w:r>
        <w:rPr>
          <w:rFonts w:ascii="Times New Roman" w:cs="Times New Roman" w:eastAsia="Times New Roman" w:hAnsi="Times New Roman"/>
          <w:sz w:val="24"/>
          <w:szCs w:val="24"/>
        </w:rPr>
        <w:t xml:space="preserve">Em maio de 2025, a pedido da Procuradoria-Geral da República, o Moraes abriu um inquérito contra ele. Em julho, o governo americano revogou o visto do Moraes e depois aplicou contra ele a Lei Magnitsky, que é uma lei americana de sanções financeiras.</w:t>
      </w:r>
    </w:p>
    <w:p>
      <w:pPr>
        <w:spacing w:after="120"/>
        <w:jc w:val="both"/>
      </w:pPr>
      <w:r>
        <w:rPr>
          <w:rFonts w:ascii="Times New Roman" w:cs="Times New Roman" w:eastAsia="Times New Roman" w:hAnsi="Times New Roman"/>
          <w:sz w:val="24"/>
          <w:szCs w:val="24"/>
        </w:rPr>
        <w:t xml:space="preserve">Em setembro de 2025, o procurador-geral Paulo Gonet denunciou o Eduardo por coação no curso do processo. A tese da acusação: ele teria ajudado a promover sanções contra autoridades brasileiras pra pressionar o Supremo no processo do pai dele.</w:t>
      </w:r>
    </w:p>
    <w:p>
      <w:pPr>
        <w:spacing w:after="100"/>
        <w:ind w:left="360"/>
      </w:pPr>
      <w:r>
        <w:rPr>
          <w:rFonts w:ascii="Times New Roman" w:cs="Times New Roman" w:eastAsia="Times New Roman" w:hAnsi="Times New Roman"/>
          <w:i/>
          <w:iCs/>
          <w:color w:val="555555"/>
          <w:sz w:val="20"/>
          <w:szCs w:val="20"/>
        </w:rPr>
        <w:t xml:space="preserve">[NA TELA: primeira página da denúncia da PGR (Inq 4.995, 22/9/2025)]</w:t>
      </w:r>
    </w:p>
    <w:p>
      <w:pPr>
        <w:spacing w:after="120"/>
        <w:jc w:val="both"/>
      </w:pPr>
      <w:r>
        <w:rPr>
          <w:rFonts w:ascii="Times New Roman" w:cs="Times New Roman" w:eastAsia="Times New Roman" w:hAnsi="Times New Roman"/>
          <w:sz w:val="24"/>
          <w:szCs w:val="24"/>
        </w:rPr>
        <w:t xml:space="preserve">Em novembro, a Primeira Turma recebeu a denúncia, 4 a 0, e ele virou réu. Em dezembro, a Câmara declarou a perda do mandato dele por faltas.</w:t>
      </w:r>
    </w:p>
    <w:p>
      <w:pPr>
        <w:spacing w:after="120"/>
        <w:jc w:val="both"/>
      </w:pPr>
      <w:r>
        <w:rPr>
          <w:rFonts w:ascii="Times New Roman" w:cs="Times New Roman" w:eastAsia="Times New Roman" w:hAnsi="Times New Roman"/>
          <w:sz w:val="24"/>
          <w:szCs w:val="24"/>
        </w:rPr>
        <w:t xml:space="preserve">E em 16 de junho de 2026, a Primeira Turma condenou, por unanimidade: quatro anos e dois meses de prisão em regime semiaberto, multa, perda do cargo de escrivão da Polícia Federal e inelegibilidade.</w:t>
      </w:r>
    </w:p>
    <w:p>
      <w:pPr>
        <w:spacing w:after="100"/>
        <w:ind w:left="360"/>
      </w:pPr>
      <w:r>
        <w:rPr>
          <w:rFonts w:ascii="Times New Roman" w:cs="Times New Roman" w:eastAsia="Times New Roman" w:hAnsi="Times New Roman"/>
          <w:i/>
          <w:iCs/>
          <w:color w:val="555555"/>
          <w:sz w:val="20"/>
          <w:szCs w:val="20"/>
        </w:rPr>
        <w:t xml:space="preserve">[NA TELA: notícia do STF sobre a condenação (16/6/2026)]</w:t>
      </w:r>
    </w:p>
    <w:p>
      <w:pPr>
        <w:spacing w:after="120"/>
        <w:jc w:val="both"/>
      </w:pPr>
      <w:r>
        <w:rPr>
          <w:rFonts w:ascii="Times New Roman" w:cs="Times New Roman" w:eastAsia="Times New Roman" w:hAnsi="Times New Roman"/>
          <w:sz w:val="24"/>
          <w:szCs w:val="24"/>
        </w:rPr>
        <w:t xml:space="preserve">Os recursos foram rejeitados em setembro, a condenação ficou definitiva no dia 3 de outubro, e agora veio o mandado de prisão.</w:t>
      </w:r>
    </w:p>
    <w:p>
      <w:pPr>
        <w:spacing w:after="120"/>
        <w:jc w:val="both"/>
      </w:pPr>
      <w:r>
        <w:rPr>
          <w:rFonts w:ascii="Times New Roman" w:cs="Times New Roman" w:eastAsia="Times New Roman" w:hAnsi="Times New Roman"/>
          <w:sz w:val="24"/>
          <w:szCs w:val="24"/>
        </w:rPr>
        <w:t xml:space="preserve">Um detalhe curioso: em dezembro de 2025, os próprios Estados Unidos retiraram o Moraes da lista de sanções da Lei Magnitsky. Ou seja, quando o Eduardo foi condenado por coação, a principal sanção contra o ministro nem existia mais.</w:t>
      </w:r>
    </w:p>
    <w:p>
      <w:pPr>
        <w:spacing w:after="80" w:before="200"/>
      </w:pPr>
      <w:r>
        <w:rPr>
          <w:rFonts w:ascii="Times New Roman" w:cs="Times New Roman" w:eastAsia="Times New Roman" w:hAnsi="Times New Roman"/>
          <w:b/>
          <w:bCs/>
          <w:sz w:val="24"/>
          <w:szCs w:val="24"/>
        </w:rPr>
        <w:t xml:space="preserve">2. O QUE O STF DISSE</w:t>
      </w:r>
    </w:p>
    <w:p>
      <w:pPr>
        <w:spacing w:after="120"/>
        <w:jc w:val="both"/>
      </w:pPr>
      <w:r>
        <w:rPr>
          <w:rFonts w:ascii="Times New Roman" w:cs="Times New Roman" w:eastAsia="Times New Roman" w:hAnsi="Times New Roman"/>
          <w:sz w:val="24"/>
          <w:szCs w:val="24"/>
        </w:rPr>
        <w:t xml:space="preserve">O relator foi o próprio Moraes. E o voto dele tem duas frases que resumem a visão do tribunal.</w:t>
      </w:r>
    </w:p>
    <w:p>
      <w:pPr>
        <w:spacing w:after="120"/>
        <w:jc w:val="both"/>
      </w:pPr>
      <w:r>
        <w:rPr>
          <w:rFonts w:ascii="Times New Roman" w:cs="Times New Roman" w:eastAsia="Times New Roman" w:hAnsi="Times New Roman"/>
          <w:sz w:val="24"/>
          <w:szCs w:val="24"/>
        </w:rPr>
        <w:t xml:space="preserve">A primeira: “Não é função de deputado federal brasileiro fazer lobby no exterior contra o próprio país.”</w:t>
      </w:r>
    </w:p>
    <w:p>
      <w:pPr>
        <w:spacing w:after="120"/>
        <w:jc w:val="both"/>
      </w:pPr>
      <w:r>
        <w:rPr>
          <w:rFonts w:ascii="Times New Roman" w:cs="Times New Roman" w:eastAsia="Times New Roman" w:hAnsi="Times New Roman"/>
          <w:sz w:val="24"/>
          <w:szCs w:val="24"/>
        </w:rPr>
        <w:t xml:space="preserve">A segunda: no intuito de beneficiar o próprio pai, a atividade criminosa do então deputado “prejudicou todo o país, e não amedrontou essa Corte”.</w:t>
      </w:r>
    </w:p>
    <w:p>
      <w:pPr>
        <w:spacing w:after="100"/>
        <w:ind w:left="360"/>
      </w:pPr>
      <w:r>
        <w:rPr>
          <w:rFonts w:ascii="Times New Roman" w:cs="Times New Roman" w:eastAsia="Times New Roman" w:hAnsi="Times New Roman"/>
          <w:i/>
          <w:iCs/>
          <w:color w:val="555555"/>
          <w:sz w:val="20"/>
          <w:szCs w:val="20"/>
        </w:rPr>
        <w:t xml:space="preserve">[NA TELA: as duas frases do voto de Moraes, com a fonte]</w:t>
      </w:r>
    </w:p>
    <w:p>
      <w:pPr>
        <w:spacing w:after="120"/>
        <w:jc w:val="both"/>
      </w:pPr>
      <w:r>
        <w:rPr>
          <w:rFonts w:ascii="Times New Roman" w:cs="Times New Roman" w:eastAsia="Times New Roman" w:hAnsi="Times New Roman"/>
          <w:sz w:val="24"/>
          <w:szCs w:val="24"/>
        </w:rPr>
        <w:t xml:space="preserve">E o tribunal entendeu que isso aconteceu em pelo menos nove ocasiões, o que levou ao aumento da pena pela continuidade, porque foi o mesmo crime repetido várias vezes.</w:t>
      </w:r>
    </w:p>
    <w:p>
      <w:pPr>
        <w:spacing w:after="120"/>
        <w:jc w:val="both"/>
      </w:pPr>
      <w:r>
        <w:rPr>
          <w:rFonts w:ascii="Times New Roman" w:cs="Times New Roman" w:eastAsia="Times New Roman" w:hAnsi="Times New Roman"/>
          <w:sz w:val="24"/>
          <w:szCs w:val="24"/>
        </w:rPr>
        <w:t xml:space="preserve">Guarda esse detalhe, porque ele vai ser importante daqui a pouco.</w:t>
      </w:r>
    </w:p>
    <w:p>
      <w:pPr>
        <w:spacing w:after="80" w:before="200"/>
      </w:pPr>
      <w:r>
        <w:rPr>
          <w:rFonts w:ascii="Times New Roman" w:cs="Times New Roman" w:eastAsia="Times New Roman" w:hAnsi="Times New Roman"/>
          <w:b/>
          <w:bCs/>
          <w:sz w:val="24"/>
          <w:szCs w:val="24"/>
        </w:rPr>
        <w:t xml:space="preserve">3. O QUE DIZ O CÓDIGO PENAL</w:t>
      </w:r>
    </w:p>
    <w:p>
      <w:pPr>
        <w:spacing w:after="120"/>
        <w:jc w:val="both"/>
      </w:pPr>
      <w:r>
        <w:rPr>
          <w:rFonts w:ascii="Times New Roman" w:cs="Times New Roman" w:eastAsia="Times New Roman" w:hAnsi="Times New Roman"/>
          <w:sz w:val="24"/>
          <w:szCs w:val="24"/>
        </w:rPr>
        <w:t xml:space="preserve">Agora a parte que interessa: o que a lei diz?</w:t>
      </w:r>
    </w:p>
    <w:p>
      <w:pPr>
        <w:spacing w:after="120"/>
        <w:jc w:val="both"/>
      </w:pPr>
      <w:r>
        <w:rPr>
          <w:rFonts w:ascii="Times New Roman" w:cs="Times New Roman" w:eastAsia="Times New Roman" w:hAnsi="Times New Roman"/>
          <w:sz w:val="24"/>
          <w:szCs w:val="24"/>
        </w:rPr>
        <w:t xml:space="preserve">O artigo 344 do Código Penal define a coação no curso do processo assim: usar de violência ou grave ameaça, com o fim de favorecer interesse próprio ou alheio, contra autoridade, parte ou qualquer pessoa que atua em processo judicial. Pena: de um a quatro anos.</w:t>
      </w:r>
    </w:p>
    <w:p>
      <w:pPr>
        <w:spacing w:after="100"/>
        <w:ind w:left="360"/>
      </w:pPr>
      <w:r>
        <w:rPr>
          <w:rFonts w:ascii="Times New Roman" w:cs="Times New Roman" w:eastAsia="Times New Roman" w:hAnsi="Times New Roman"/>
          <w:i/>
          <w:iCs/>
          <w:color w:val="555555"/>
          <w:sz w:val="20"/>
          <w:szCs w:val="20"/>
        </w:rPr>
        <w:t xml:space="preserve">[NA TELA: art. 344 do Código Penal, com “violência ou grave ameaça” em destaque]</w:t>
      </w:r>
    </w:p>
    <w:p>
      <w:pPr>
        <w:spacing w:after="120"/>
        <w:jc w:val="both"/>
      </w:pPr>
      <w:r>
        <w:rPr>
          <w:rFonts w:ascii="Times New Roman" w:cs="Times New Roman" w:eastAsia="Times New Roman" w:hAnsi="Times New Roman"/>
          <w:sz w:val="24"/>
          <w:szCs w:val="24"/>
        </w:rPr>
        <w:t xml:space="preserve">Repara: a lei exige violência ou grave ameaça. Violência não houve. Ninguém diz que o Eduardo encostou um dedo em ninguém. Então o caso inteiro depende de uma pergunta: o que ele fez é grave ameaça?</w:t>
      </w:r>
    </w:p>
    <w:p>
      <w:pPr>
        <w:spacing w:after="120"/>
        <w:jc w:val="both"/>
      </w:pPr>
      <w:r>
        <w:rPr>
          <w:rFonts w:ascii="Times New Roman" w:cs="Times New Roman" w:eastAsia="Times New Roman" w:hAnsi="Times New Roman"/>
          <w:sz w:val="24"/>
          <w:szCs w:val="24"/>
        </w:rPr>
        <w:t xml:space="preserve">No Direito Penal, ameaça é a promessa de causar um mal injusto e grave a alguém. E a doutrina clássica ensina que esse mal tem que depender, de alguma forma, de quem ameaça. Eu ameaço quando digo: “eu vou fazer isso com você”.</w:t>
      </w:r>
    </w:p>
    <w:p>
      <w:pPr>
        <w:spacing w:after="120"/>
        <w:jc w:val="both"/>
      </w:pPr>
      <w:r>
        <w:rPr>
          <w:rFonts w:ascii="Times New Roman" w:cs="Times New Roman" w:eastAsia="Times New Roman" w:hAnsi="Times New Roman"/>
          <w:sz w:val="24"/>
          <w:szCs w:val="24"/>
        </w:rPr>
        <w:t xml:space="preserve">Só que quem aplicou as sanções não foi o Eduardo. Foi o governo dos Estados Unidos, que é um Estado soberano, com as suas próprias razões e os seus próprios processos. O Eduardo não tem poder de aplicar sanção a ninguém. Ele pode pedir, defender, comemorar. Mas quem decide é Washington.</w:t>
      </w:r>
    </w:p>
    <w:p>
      <w:pPr>
        <w:spacing w:after="120"/>
        <w:jc w:val="both"/>
      </w:pPr>
      <w:r>
        <w:rPr>
          <w:rFonts w:ascii="Times New Roman" w:cs="Times New Roman" w:eastAsia="Times New Roman" w:hAnsi="Times New Roman"/>
          <w:sz w:val="24"/>
          <w:szCs w:val="24"/>
        </w:rPr>
        <w:t xml:space="preserve">E pedir a um governo estrangeiro uma medida contra uma autoridade, por mais que se critique politicamente, é a mesma coisa que ameaçar? Vários juristas disseram que essa leitura do artigo 344 é ampla demais.</w:t>
      </w:r>
    </w:p>
    <w:p>
      <w:pPr>
        <w:spacing w:after="120"/>
        <w:jc w:val="both"/>
      </w:pPr>
      <w:r>
        <w:rPr>
          <w:rFonts w:ascii="Times New Roman" w:cs="Times New Roman" w:eastAsia="Times New Roman" w:hAnsi="Times New Roman"/>
          <w:sz w:val="24"/>
          <w:szCs w:val="24"/>
        </w:rPr>
        <w:t xml:space="preserve">E aqui entra um princípio que é a base do Direito Penal. O artigo 5º da Constituição, inciso 39, e o artigo 1º do Código Penal dizem a mesma coisa: não há crime sem lei anterior que o defina. A conduta tem que estar descrita na lei com clareza. Se for preciso esticar o sentido da palavra pra caber o caso, o juiz está criando crime, e isso é papel do legislador.</w:t>
      </w:r>
    </w:p>
    <w:p>
      <w:pPr>
        <w:spacing w:after="100"/>
        <w:ind w:left="360"/>
      </w:pPr>
      <w:r>
        <w:rPr>
          <w:rFonts w:ascii="Times New Roman" w:cs="Times New Roman" w:eastAsia="Times New Roman" w:hAnsi="Times New Roman"/>
          <w:i/>
          <w:iCs/>
          <w:color w:val="555555"/>
          <w:sz w:val="20"/>
          <w:szCs w:val="20"/>
        </w:rPr>
        <w:t xml:space="preserve">[NA TELA: art. 5º, XXXIX, da Constituição]</w:t>
      </w:r>
    </w:p>
    <w:p>
      <w:pPr>
        <w:spacing w:after="80" w:before="200"/>
      </w:pPr>
      <w:r>
        <w:rPr>
          <w:rFonts w:ascii="Times New Roman" w:cs="Times New Roman" w:eastAsia="Times New Roman" w:hAnsi="Times New Roman"/>
          <w:b/>
          <w:bCs/>
          <w:sz w:val="24"/>
          <w:szCs w:val="24"/>
        </w:rPr>
        <w:t xml:space="preserve">4. A PENA: POR QUE SEMIABERTO</w:t>
      </w:r>
    </w:p>
    <w:p>
      <w:pPr>
        <w:spacing w:after="120"/>
        <w:jc w:val="both"/>
      </w:pPr>
      <w:r>
        <w:rPr>
          <w:rFonts w:ascii="Times New Roman" w:cs="Times New Roman" w:eastAsia="Times New Roman" w:hAnsi="Times New Roman"/>
          <w:sz w:val="24"/>
          <w:szCs w:val="24"/>
        </w:rPr>
        <w:t xml:space="preserve">Lembra da continuidade? Olha a consequência.</w:t>
      </w:r>
    </w:p>
    <w:p>
      <w:pPr>
        <w:spacing w:after="120"/>
        <w:jc w:val="both"/>
      </w:pPr>
      <w:r>
        <w:rPr>
          <w:rFonts w:ascii="Times New Roman" w:cs="Times New Roman" w:eastAsia="Times New Roman" w:hAnsi="Times New Roman"/>
          <w:sz w:val="24"/>
          <w:szCs w:val="24"/>
        </w:rPr>
        <w:t xml:space="preserve">A pena máxima do artigo 344 é quatro anos. O Eduardo pegou quatro anos e dois meses. Ele só passou do máximo por causa do aumento pela repetição.</w:t>
      </w:r>
    </w:p>
    <w:p>
      <w:pPr>
        <w:spacing w:after="120"/>
        <w:jc w:val="both"/>
      </w:pPr>
      <w:r>
        <w:rPr>
          <w:rFonts w:ascii="Times New Roman" w:cs="Times New Roman" w:eastAsia="Times New Roman" w:hAnsi="Times New Roman"/>
          <w:sz w:val="24"/>
          <w:szCs w:val="24"/>
        </w:rPr>
        <w:t xml:space="preserve">E esses dois meses mudam tudo. Pela regra do Código Penal, pena acima de quatro anos não pode começar no regime aberto: vai pro semiaberto. E pena acima de quatro anos permite que o juiz decrete a perda do cargo público, em qualquer crime. Foi assim que ele perdeu o cargo de escrivão da Polícia Federal.</w:t>
      </w:r>
    </w:p>
    <w:p>
      <w:pPr>
        <w:spacing w:after="120"/>
        <w:jc w:val="both"/>
      </w:pPr>
      <w:r>
        <w:rPr>
          <w:rFonts w:ascii="Times New Roman" w:cs="Times New Roman" w:eastAsia="Times New Roman" w:hAnsi="Times New Roman"/>
          <w:sz w:val="24"/>
          <w:szCs w:val="24"/>
        </w:rPr>
        <w:t xml:space="preserve">Ou seja: dois meses acima do máximo foram o que definiu o regime e a perda do cargo.</w:t>
      </w:r>
    </w:p>
    <w:p>
      <w:pPr>
        <w:spacing w:after="80" w:before="200"/>
      </w:pPr>
      <w:r>
        <w:rPr>
          <w:rFonts w:ascii="Times New Roman" w:cs="Times New Roman" w:eastAsia="Times New Roman" w:hAnsi="Times New Roman"/>
          <w:b/>
          <w:bCs/>
          <w:sz w:val="24"/>
          <w:szCs w:val="24"/>
        </w:rPr>
        <w:t xml:space="preserve">5. OS PROBLEMAS DO PROCESSO</w:t>
      </w:r>
    </w:p>
    <w:p>
      <w:pPr>
        <w:spacing w:after="120"/>
        <w:jc w:val="both"/>
      </w:pPr>
      <w:r>
        <w:rPr>
          <w:rFonts w:ascii="Times New Roman" w:cs="Times New Roman" w:eastAsia="Times New Roman" w:hAnsi="Times New Roman"/>
          <w:sz w:val="24"/>
          <w:szCs w:val="24"/>
        </w:rPr>
        <w:t xml:space="preserve">Tem mais dois pontos que a defesa levantou e que, na minha visão, merecem atenção.</w:t>
      </w:r>
    </w:p>
    <w:p>
      <w:pPr>
        <w:spacing w:after="120"/>
        <w:jc w:val="both"/>
      </w:pPr>
      <w:r>
        <w:rPr>
          <w:rFonts w:ascii="Times New Roman" w:cs="Times New Roman" w:eastAsia="Times New Roman" w:hAnsi="Times New Roman"/>
          <w:sz w:val="24"/>
          <w:szCs w:val="24"/>
        </w:rPr>
        <w:t xml:space="preserve">O primeiro: quem julgou foi o Moraes. E as sanções que a acusação diz que o Eduardo promoveu foram justamente contra o Moraes. A Defensoria Pública da União, que fez a defesa, pediu o impedimento dele. O Código de Processo Penal, no artigo 252, diz que o juiz não pode atuar quando ele próprio for parte ou diretamente interessado no caso.</w:t>
      </w:r>
    </w:p>
    <w:p>
      <w:pPr>
        <w:spacing w:after="100"/>
        <w:ind w:left="360"/>
      </w:pPr>
      <w:r>
        <w:rPr>
          <w:rFonts w:ascii="Times New Roman" w:cs="Times New Roman" w:eastAsia="Times New Roman" w:hAnsi="Times New Roman"/>
          <w:i/>
          <w:iCs/>
          <w:color w:val="555555"/>
          <w:sz w:val="20"/>
          <w:szCs w:val="20"/>
        </w:rPr>
        <w:t xml:space="preserve">[NA TELA: art. 252, IV, do CPP]</w:t>
      </w:r>
    </w:p>
    <w:p>
      <w:pPr>
        <w:spacing w:after="120"/>
        <w:jc w:val="both"/>
      </w:pPr>
      <w:r>
        <w:rPr>
          <w:rFonts w:ascii="Times New Roman" w:cs="Times New Roman" w:eastAsia="Times New Roman" w:hAnsi="Times New Roman"/>
          <w:sz w:val="24"/>
          <w:szCs w:val="24"/>
        </w:rPr>
        <w:t xml:space="preserve">O STF não aceitou esse argumento. Mas olha que interessante: em 2026, a Corte de Cassação da Itália negou a extradição da Carla Zambelli, e um dos fundamentos foi justamente a dupla posição do Moraes, de julgador e de atingido. Um tribunal estrangeiro viu problema no mesmo ponto.</w:t>
      </w:r>
    </w:p>
    <w:p>
      <w:pPr>
        <w:spacing w:after="120"/>
        <w:jc w:val="both"/>
      </w:pPr>
      <w:r>
        <w:rPr>
          <w:rFonts w:ascii="Times New Roman" w:cs="Times New Roman" w:eastAsia="Times New Roman" w:hAnsi="Times New Roman"/>
          <w:sz w:val="24"/>
          <w:szCs w:val="24"/>
        </w:rPr>
        <w:t xml:space="preserve">O segundo ponto: a citação. O Eduardo tem endereço conhecido nos Estados Unidos. A defesa pediu que ele fosse citado pelos canais internacionais, por carta rogatória. O Moraes negou e mandou citar por edital, com publicação no Diário Oficial, dizendo que ele estava criando dificuldades pra ser notificado. O Eduardo diz que nunca foi citado formalmente e que soube da condenação pela imprensa.</w:t>
      </w:r>
    </w:p>
    <w:p>
      <w:pPr>
        <w:spacing w:after="120"/>
        <w:jc w:val="both"/>
      </w:pPr>
      <w:r>
        <w:rPr>
          <w:rFonts w:ascii="Times New Roman" w:cs="Times New Roman" w:eastAsia="Times New Roman" w:hAnsi="Times New Roman"/>
          <w:sz w:val="24"/>
          <w:szCs w:val="24"/>
        </w:rPr>
        <w:t xml:space="preserve">O STF rejeitou tudo isso, e a condenação é definitiva. Mas são pontos que vão pesar lá fora, como você vai ver agora.</w:t>
      </w:r>
    </w:p>
    <w:p>
      <w:pPr>
        <w:spacing w:after="80" w:before="200"/>
      </w:pPr>
      <w:r>
        <w:rPr>
          <w:rFonts w:ascii="Times New Roman" w:cs="Times New Roman" w:eastAsia="Times New Roman" w:hAnsi="Times New Roman"/>
          <w:b/>
          <w:bCs/>
          <w:sz w:val="24"/>
          <w:szCs w:val="24"/>
        </w:rPr>
        <w:t xml:space="preserve">6. ELE VAI SER PRESO? A EXTRADIÇÃO</w:t>
      </w:r>
    </w:p>
    <w:p>
      <w:pPr>
        <w:spacing w:after="120"/>
        <w:jc w:val="both"/>
      </w:pPr>
      <w:r>
        <w:rPr>
          <w:rFonts w:ascii="Times New Roman" w:cs="Times New Roman" w:eastAsia="Times New Roman" w:hAnsi="Times New Roman"/>
          <w:sz w:val="24"/>
          <w:szCs w:val="24"/>
        </w:rPr>
        <w:t xml:space="preserve">Pra ele ser preso nos Estados Unidos, o Brasil precisa pedir a extradição. E até agora o pedido nem foi feito: segundo a imprensa, a Polícia Federal ainda avalia.</w:t>
      </w:r>
    </w:p>
    <w:p>
      <w:pPr>
        <w:spacing w:after="120"/>
        <w:jc w:val="both"/>
      </w:pPr>
      <w:r>
        <w:rPr>
          <w:rFonts w:ascii="Times New Roman" w:cs="Times New Roman" w:eastAsia="Times New Roman" w:hAnsi="Times New Roman"/>
          <w:sz w:val="24"/>
          <w:szCs w:val="24"/>
        </w:rPr>
        <w:t xml:space="preserve">Existe um tratado de extradição entre Brasil e Estados Unidos, assinado em 1961 e em vigor desde 1964. Segundo especialistas, ele tem dois obstáculos pra esse caso.</w:t>
      </w:r>
    </w:p>
    <w:p>
      <w:pPr>
        <w:spacing w:after="100"/>
        <w:ind w:left="360"/>
      </w:pPr>
      <w:r>
        <w:rPr>
          <w:rFonts w:ascii="Times New Roman" w:cs="Times New Roman" w:eastAsia="Times New Roman" w:hAnsi="Times New Roman"/>
          <w:i/>
          <w:iCs/>
          <w:color w:val="555555"/>
          <w:sz w:val="20"/>
          <w:szCs w:val="20"/>
        </w:rPr>
        <w:t xml:space="preserve">[NA TELA: Decreto 55.750/1965 (tratado de extradição Brasil–EUA)]</w:t>
      </w:r>
    </w:p>
    <w:p>
      <w:pPr>
        <w:spacing w:after="120"/>
        <w:jc w:val="both"/>
      </w:pPr>
      <w:r>
        <w:rPr>
          <w:rFonts w:ascii="Times New Roman" w:cs="Times New Roman" w:eastAsia="Times New Roman" w:hAnsi="Times New Roman"/>
          <w:sz w:val="24"/>
          <w:szCs w:val="24"/>
        </w:rPr>
        <w:t xml:space="preserve">Primeiro: o tratado traz uma lista de crimes que permitem extradição. E o professor João Pedro Pádua, da UFF, ouvido pela agência americana AP, disse que a coação no curso do processo não está nessa lista, e que por isso os Estados Unidos não teriam base legal pra extraditar.</w:t>
      </w:r>
    </w:p>
    <w:p>
      <w:pPr>
        <w:spacing w:after="120"/>
        <w:jc w:val="both"/>
      </w:pPr>
      <w:r>
        <w:rPr>
          <w:rFonts w:ascii="Times New Roman" w:cs="Times New Roman" w:eastAsia="Times New Roman" w:hAnsi="Times New Roman"/>
          <w:sz w:val="24"/>
          <w:szCs w:val="24"/>
        </w:rPr>
        <w:t xml:space="preserve">Segundo: o tratado não permite extradição por crime de caráter político. E quem decide se o crime é político ou não são os Estados Unidos.</w:t>
      </w:r>
    </w:p>
    <w:p>
      <w:pPr>
        <w:spacing w:after="120"/>
        <w:jc w:val="both"/>
      </w:pPr>
      <w:r>
        <w:rPr>
          <w:rFonts w:ascii="Times New Roman" w:cs="Times New Roman" w:eastAsia="Times New Roman" w:hAnsi="Times New Roman"/>
          <w:sz w:val="24"/>
          <w:szCs w:val="24"/>
        </w:rPr>
        <w:t xml:space="preserve">Lá, o processo funciona assim: primeiro um juiz federal americano analisa se o pedido cabe no tratado. Depois, quem decide se entrega ou não é o Secretário de Estado, que é o Marco Rubio.</w:t>
      </w:r>
    </w:p>
    <w:p>
      <w:pPr>
        <w:spacing w:after="120"/>
        <w:jc w:val="both"/>
      </w:pPr>
      <w:r>
        <w:rPr>
          <w:rFonts w:ascii="Times New Roman" w:cs="Times New Roman" w:eastAsia="Times New Roman" w:hAnsi="Times New Roman"/>
          <w:sz w:val="24"/>
          <w:szCs w:val="24"/>
        </w:rPr>
        <w:t xml:space="preserve">E tem precedente. Em 2024, no caso do Allan dos Santos, os Estados Unidos informaram ao Brasil que não extraditam por crimes que eles consideram de opinião.</w:t>
      </w:r>
    </w:p>
    <w:p>
      <w:pPr>
        <w:spacing w:after="120"/>
        <w:jc w:val="both"/>
      </w:pPr>
      <w:r>
        <w:rPr>
          <w:rFonts w:ascii="Times New Roman" w:cs="Times New Roman" w:eastAsia="Times New Roman" w:hAnsi="Times New Roman"/>
          <w:sz w:val="24"/>
          <w:szCs w:val="24"/>
        </w:rPr>
        <w:t xml:space="preserve">Então, na prática: enquanto estiver nos Estados Unidos, a chance de ele ser preso é muito pequena. Mas o nome dele está no banco nacional de mandados de prisão. Se pisar no Brasil, é preso.</w:t>
      </w:r>
    </w:p>
    <w:p>
      <w:pPr>
        <w:spacing w:after="80" w:before="200"/>
      </w:pPr>
      <w:r>
        <w:rPr>
          <w:rFonts w:ascii="Times New Roman" w:cs="Times New Roman" w:eastAsia="Times New Roman" w:hAnsi="Times New Roman"/>
          <w:b/>
          <w:bCs/>
          <w:sz w:val="24"/>
          <w:szCs w:val="24"/>
        </w:rPr>
        <w:t xml:space="preserve">7. MINHA OPINIÃO</w:t>
      </w:r>
    </w:p>
    <w:p>
      <w:pPr>
        <w:spacing w:after="120"/>
        <w:jc w:val="both"/>
      </w:pPr>
      <w:r>
        <w:rPr>
          <w:rFonts w:ascii="Times New Roman" w:cs="Times New Roman" w:eastAsia="Times New Roman" w:hAnsi="Times New Roman"/>
          <w:sz w:val="24"/>
          <w:szCs w:val="24"/>
        </w:rPr>
        <w:t xml:space="preserve">Agora, a minha opinião, como advogado.</w:t>
      </w:r>
    </w:p>
    <w:p>
      <w:pPr>
        <w:spacing w:after="120"/>
        <w:jc w:val="both"/>
      </w:pPr>
      <w:r>
        <w:rPr>
          <w:rFonts w:ascii="Times New Roman" w:cs="Times New Roman" w:eastAsia="Times New Roman" w:hAnsi="Times New Roman"/>
          <w:sz w:val="24"/>
          <w:szCs w:val="24"/>
        </w:rPr>
        <w:t xml:space="preserve">Você pode achar ruim, e muita gente acha, um político brasileiro pedir sanção de outro país contra autoridades do Brasil. Isso é debate político, e cada um tem a sua opinião.</w:t>
      </w:r>
    </w:p>
    <w:p>
      <w:pPr>
        <w:spacing w:after="120"/>
        <w:jc w:val="both"/>
      </w:pPr>
      <w:r>
        <w:rPr>
          <w:rFonts w:ascii="Times New Roman" w:cs="Times New Roman" w:eastAsia="Times New Roman" w:hAnsi="Times New Roman"/>
          <w:sz w:val="24"/>
          <w:szCs w:val="24"/>
        </w:rPr>
        <w:t xml:space="preserve">Mas a pergunta jurídica é outra: isso é crime de coação, com grave ameaça, nos termos do artigo 344? Na minha opinião, não. A sanção é ato de um governo estrangeiro, que o Eduardo não controla. E esticar a palavra “ameaça” pra caber esse caso é exatamente o que o princípio da legalidade proíbe.</w:t>
      </w:r>
    </w:p>
    <w:p>
      <w:pPr>
        <w:spacing w:after="120"/>
        <w:jc w:val="both"/>
      </w:pPr>
      <w:r>
        <w:rPr>
          <w:rFonts w:ascii="Times New Roman" w:cs="Times New Roman" w:eastAsia="Times New Roman" w:hAnsi="Times New Roman"/>
          <w:sz w:val="24"/>
          <w:szCs w:val="24"/>
        </w:rPr>
        <w:t xml:space="preserve">Some a isso um julgamento em que o relator era o próprio ministro atingido pelas sanções, e uma citação por edital de alguém com endereço conhecido. Eu não acho que essa condenação seja das mais sólidas que o Supremo já produziu.</w:t>
      </w:r>
    </w:p>
    <w:p>
      <w:pPr>
        <w:spacing w:after="120"/>
        <w:jc w:val="both"/>
      </w:pPr>
      <w:r>
        <w:rPr>
          <w:rFonts w:ascii="Times New Roman" w:cs="Times New Roman" w:eastAsia="Times New Roman" w:hAnsi="Times New Roman"/>
          <w:sz w:val="24"/>
          <w:szCs w:val="24"/>
        </w:rPr>
        <w:t xml:space="preserve">A condenação existe, é definitiva, e eu não estou dizendo que alguém deve descumprir decisão judicial. Estou dizendo que ela é juridicamente discutível. E que, lá fora, esse debate ainda vai acontecer.</w:t>
      </w:r>
    </w:p>
    <w:p>
      <w:pPr>
        <w:spacing w:after="80" w:before="200"/>
      </w:pPr>
      <w:r>
        <w:rPr>
          <w:rFonts w:ascii="Times New Roman" w:cs="Times New Roman" w:eastAsia="Times New Roman" w:hAnsi="Times New Roman"/>
          <w:b/>
          <w:bCs/>
          <w:sz w:val="24"/>
          <w:szCs w:val="24"/>
        </w:rPr>
        <w:t xml:space="preserve">FECHAMENTO (CTA)</w:t>
      </w:r>
    </w:p>
    <w:p>
      <w:pPr>
        <w:spacing w:after="120"/>
        <w:jc w:val="both"/>
      </w:pPr>
      <w:r>
        <w:rPr>
          <w:rFonts w:ascii="Times New Roman" w:cs="Times New Roman" w:eastAsia="Times New Roman" w:hAnsi="Times New Roman"/>
          <w:sz w:val="24"/>
          <w:szCs w:val="24"/>
        </w:rPr>
        <w:t xml:space="preserve">E você? Acha que pedir sanção a outro país é crime ou é manifestação política? Comenta aqui, eu leio tudo. Se você gosta de análise jurídica com documento na tela, se inscreve no canal e manda esse vídeo pra quem só leu a manchete. Até o próximo.</w:t>
      </w:r>
    </w:p>
    <w:p>
      <w:pPr>
        <w:spacing w:after="60" w:before="200"/>
      </w:pPr>
      <w:r>
        <w:rPr>
          <w:rFonts w:ascii="Times New Roman" w:cs="Times New Roman" w:eastAsia="Times New Roman" w:hAnsi="Times New Roman"/>
          <w:b/>
          <w:bCs/>
          <w:i/>
          <w:iCs/>
          <w:sz w:val="18"/>
          <w:szCs w:val="18"/>
        </w:rPr>
        <w:t xml:space="preserve">NOTA INTERNA — NÃO LER NA GRAVAÇÃO</w:t>
      </w:r>
    </w:p>
    <w:p>
      <w:pPr>
        <w:spacing w:after="40"/>
      </w:pPr>
      <w:r>
        <w:rPr>
          <w:rFonts w:ascii="Times New Roman" w:cs="Times New Roman" w:eastAsia="Times New Roman" w:hAnsi="Times New Roman"/>
          <w:i/>
          <w:iCs/>
          <w:sz w:val="18"/>
          <w:szCs w:val="18"/>
        </w:rPr>
        <w:t xml:space="preserve">• Título alternativo: “Eduardo Bolsonaro vai ser extraditado? O que diz o tratado”. Thumb: Eduardo + “PRESO?”.</w:t>
      </w:r>
    </w:p>
    <w:p>
      <w:pPr>
        <w:spacing w:after="40"/>
      </w:pPr>
      <w:r>
        <w:rPr>
          <w:rFonts w:ascii="Times New Roman" w:cs="Times New Roman" w:eastAsia="Times New Roman" w:hAnsi="Times New Roman"/>
          <w:i/>
          <w:iCs/>
          <w:sz w:val="18"/>
          <w:szCs w:val="18"/>
        </w:rPr>
        <w:t xml:space="preserve">• Fatos (fontes no relatório): Inq 4.995 aberto em 26/5/2025 a pedido da PGR. Vistos de Moraes revogados em 18/7/2025; Magnitsky aplicada em 30/7/2025 e retirada em 12/12/2025 (Moraes, a esposa e o Instituto Lex). Denúncia de Gonet em 22/9/2025 (Eduardo e Paulo Figueiredo; Figueiredo foi desmembrado). Edital em 30/9/2025; rogatória negada (“Está criando dificuldades”); DPU nomeada em 16/10/2025. Recebimento da denúncia por 4 a 0 (plenário virtual de 14 a 25/11/2025): AP 2.782. Perda do mandato por faltas declarada pela Mesa da Câmara em 18/12/2025 (63 de 78 sessões). Alegações finais da PGR em 11/5/2026. Condenação em 16/6/2026 por 4 a 0 (Moraes, Zanin, Cármen Lúcia e Dino): 4a2m, semiaberto, 50 dias-multa de 2 salários mínimos, perda do cargo de escrivão da PF, inelegibilidade; continuidade em “pelo menos nove ocasiões” (MPF). Embargos rejeitados (11 a 18/9/2026). Trânsito em 3/10; mandado e cancelamento dos passaportes em 7–8/10 (as fontes divergem no dia); nome no BNMP.</w:t>
      </w:r>
    </w:p>
    <w:p>
      <w:pPr>
        <w:spacing w:after="40"/>
      </w:pPr>
      <w:r>
        <w:rPr>
          <w:rFonts w:ascii="Times New Roman" w:cs="Times New Roman" w:eastAsia="Times New Roman" w:hAnsi="Times New Roman"/>
          <w:i/>
          <w:iCs/>
          <w:sz w:val="18"/>
          <w:szCs w:val="18"/>
        </w:rPr>
        <w:t xml:space="preserve">• Frases de Moraes (imprensa): “Não é função de deputado federal brasileiro fazer lobby no exterior contra o próprio país” (Poder360); “No intuito de beneficiar seu próprio pai, a atividade criminosa do então deputado licenciado prejudicou todo o país, e não amedrontou essa Corte” (Agência Brasil). NÃO usar “crime formal” nem “ameaça crível”: não estão confirmadas como palavras do voto.</w:t>
      </w:r>
    </w:p>
    <w:p>
      <w:pPr>
        <w:spacing w:after="40"/>
      </w:pPr>
      <w:r>
        <w:rPr>
          <w:rFonts w:ascii="Times New Roman" w:cs="Times New Roman" w:eastAsia="Times New Roman" w:hAnsi="Times New Roman"/>
          <w:i/>
          <w:iCs/>
          <w:sz w:val="18"/>
          <w:szCs w:val="18"/>
        </w:rPr>
        <w:t xml:space="preserve">• Pena: o máximo do art. 344 é 4 anos; passou disso pela continuidade (art. 71). CP, art. 33, § 2º, “b” (acima de 4 até 8 anos = semiaberto inicial, se não reincidente) e art. 92, I, “b” (perda do cargo para pena acima de 4 anos). A pena-base e a fração de aumento não foram confirmadas: não citar números.</w:t>
      </w:r>
    </w:p>
    <w:p>
      <w:pPr>
        <w:spacing w:after="40"/>
      </w:pPr>
      <w:r>
        <w:rPr>
          <w:rFonts w:ascii="Times New Roman" w:cs="Times New Roman" w:eastAsia="Times New Roman" w:hAnsi="Times New Roman"/>
          <w:i/>
          <w:iCs/>
          <w:sz w:val="18"/>
          <w:szCs w:val="18"/>
        </w:rPr>
        <w:t xml:space="preserve">• Críticas de juristas (fonte secundária, reprodução de matéria): Gustavo Badaró (USP), interpretação “expansiva”, porque a ameaça vem de atos “praticados formalmente pelo governo americano”; também André Marsiglia e editorial da Gazeta do Povo (“teratológica”). Defensores da decisão: PGR (“inexistência de direito absoluto”). Por isso o vídeo fala em “vários juristas”, sem nome.</w:t>
      </w:r>
    </w:p>
    <w:p>
      <w:pPr>
        <w:spacing w:after="40"/>
      </w:pPr>
      <w:r>
        <w:rPr>
          <w:rFonts w:ascii="Times New Roman" w:cs="Times New Roman" w:eastAsia="Times New Roman" w:hAnsi="Times New Roman"/>
          <w:i/>
          <w:iCs/>
          <w:sz w:val="18"/>
          <w:szCs w:val="18"/>
        </w:rPr>
        <w:t xml:space="preserve">• Defesa (DPU): impedimento de Moraes, atipicidade, liberdade de expressão e imunidade, falta de prova, nulidade da citação por edital e art. 366 do CPP. CPP, art. 252, IV.</w:t>
      </w:r>
    </w:p>
    <w:p>
      <w:pPr>
        <w:spacing w:after="40"/>
      </w:pPr>
      <w:r>
        <w:rPr>
          <w:rFonts w:ascii="Times New Roman" w:cs="Times New Roman" w:eastAsia="Times New Roman" w:hAnsi="Times New Roman"/>
          <w:i/>
          <w:iCs/>
          <w:sz w:val="18"/>
          <w:szCs w:val="18"/>
        </w:rPr>
        <w:t xml:space="preserve">• Zambelli: a Corte de Cassação italiana negou a extradição em 22/5/2026 (caso CNJ); os fundamentos (12/6) citaram a “dupla veste” de Moraes e a falta de imparcialidade (Conjur).</w:t>
      </w:r>
    </w:p>
    <w:p>
      <w:pPr>
        <w:spacing w:after="40"/>
      </w:pPr>
      <w:r>
        <w:rPr>
          <w:rFonts w:ascii="Times New Roman" w:cs="Times New Roman" w:eastAsia="Times New Roman" w:hAnsi="Times New Roman"/>
          <w:i/>
          <w:iCs/>
          <w:sz w:val="18"/>
          <w:szCs w:val="18"/>
        </w:rPr>
        <w:t xml:space="preserve">• Extradição: tratado de 13/1/1961, protocolo de 18/6/1962, Decreto 55.750/1965, em vigor desde 17/12/1964. Não consegui ler o texto oficial (Planalto, Câmara e ONU estão bloqueados aqui): a vedação por crime político e a lista de crimes vêm de reportagens e de especialistas (Pádua/UFF à AP; Raphael Rocha/UFJF acha improvável o pedido prosperar). Rito nos EUA: 18 U.S.C. § 3184 (juiz) e § 3186 (Secretário de Estado). Allan dos Santos (mar/2024): os EUA disseram que não extraditam por crimes de opinião e pediram mais informações sobre as outras acusações. Até 10/10 não havia pedido formal; Interpol fora do horizonte (PF só usa quando não se sabe onde a pessoa está). Green card não impede extradição.</w:t>
      </w:r>
    </w:p>
    <w:p>
      <w:pPr>
        <w:spacing w:after="40"/>
      </w:pPr>
      <w:r>
        <w:rPr>
          <w:rFonts w:ascii="Times New Roman" w:cs="Times New Roman" w:eastAsia="Times New Roman" w:hAnsi="Times New Roman"/>
          <w:i/>
          <w:iCs/>
          <w:sz w:val="18"/>
          <w:szCs w:val="18"/>
        </w:rPr>
        <w:t xml:space="preserve">• Regras: o processo do pai é “o processo do pai”; não repetir a acusação nem a tratar como acertada. Não mencionar tarifaço. A frase do Departamento de Estado sobre “lawfare” não foi verificada: não usar. Eduardo chamou a decisão de “arbitrária, inoportuna e inócua”.</w:t>
      </w:r>
    </w:p>
    <w:p>
      <w:pPr>
        <w:spacing w:after="40"/>
      </w:pPr>
      <w:r>
        <w:rPr>
          <w:rFonts w:ascii="Times New Roman" w:cs="Times New Roman" w:eastAsia="Times New Roman" w:hAnsi="Times New Roman"/>
          <w:i/>
          <w:iCs/>
          <w:sz w:val="18"/>
          <w:szCs w:val="18"/>
        </w:rPr>
        <w:t xml:space="preserve">• Antes de gravar: conferir se houve pedido de extradição ou fato novo.</w:t>
      </w:r>
    </w:p>
    <w:p>
      <w:pPr>
        <w:spacing w:after="40"/>
      </w:pPr>
      <w:r>
        <w:rPr>
          <w:rFonts w:ascii="Times New Roman" w:cs="Times New Roman" w:eastAsia="Times New Roman" w:hAnsi="Times New Roman"/>
          <w:i/>
          <w:iCs/>
          <w:sz w:val="18"/>
          <w:szCs w:val="18"/>
        </w:rPr>
        <w:t xml:space="preserve">• Publicar no perfil pessoal, sem impulsionar. Não publicar conteúdo político novo em 25/10. Sem IA com imagem ou voz de candidato a partir de 22/10.</w:t>
      </w:r>
    </w:p>
    <w:p>
      <w:pPr>
        <w:pageBreakBefore/>
        <w:spacing w:after="0"/>
        <w:jc w:val="center"/>
      </w:pPr>
      <w:r>
        <w:rPr>
          <w:rFonts w:ascii="Times New Roman" w:cs="Times New Roman" w:eastAsia="Times New Roman" w:hAnsi="Times New Roman"/>
          <w:b/>
          <w:bCs/>
          <w:sz w:val="18"/>
          <w:szCs w:val="18"/>
        </w:rPr>
        <w:t xml:space="preserve">RYAN TEIXEIRA — ROTEIROS PARA YOUTUBE — 11/10/2026</w:t>
      </w:r>
    </w:p>
    <w:p>
      <w:pPr>
        <w:spacing w:after="80"/>
        <w:jc w:val="center"/>
      </w:pPr>
      <w:r>
        <w:rPr>
          <w:rFonts w:ascii="Times New Roman" w:cs="Times New Roman" w:eastAsia="Times New Roman" w:hAnsi="Times New Roman"/>
          <w:b/>
          <w:bCs/>
          <w:sz w:val="28"/>
          <w:szCs w:val="28"/>
        </w:rPr>
        <w:t xml:space="preserve">ROTEIRO 2 — ACUSOU O VICE DO FLÁVIO DE ESTUPRO E DISSE QUE NÃO TINHA QUE PROVAR NADA. EU LI O PROCESSO INTEIRO</w:t>
      </w:r>
    </w:p>
    <w:p>
      <w:pPr>
        <w:spacing w:after="160"/>
        <w:jc w:val="center"/>
      </w:pPr>
      <w:r>
        <w:rPr>
          <w:rFonts w:ascii="Times New Roman" w:cs="Times New Roman" w:eastAsia="Times New Roman" w:hAnsi="Times New Roman"/>
          <w:i/>
          <w:iCs/>
          <w:sz w:val="20"/>
          <w:szCs w:val="20"/>
        </w:rPr>
        <w:t xml:space="preserve">YouTube · solo · cerca de 12 a 14 minutos · documentos na tela pelo OBS</w:t>
      </w:r>
    </w:p>
    <w:p>
      <w:pPr>
        <w:spacing w:after="80" w:before="200"/>
      </w:pPr>
      <w:r>
        <w:rPr>
          <w:rFonts w:ascii="Times New Roman" w:cs="Times New Roman" w:eastAsia="Times New Roman" w:hAnsi="Times New Roman"/>
          <w:b/>
          <w:bCs/>
          <w:sz w:val="24"/>
          <w:szCs w:val="24"/>
        </w:rPr>
        <w:t xml:space="preserve">ABERTURA (GANCHO)</w:t>
      </w:r>
    </w:p>
    <w:p>
      <w:pPr>
        <w:spacing w:after="120"/>
        <w:jc w:val="both"/>
      </w:pPr>
      <w:r>
        <w:rPr>
          <w:rFonts w:ascii="Times New Roman" w:cs="Times New Roman" w:eastAsia="Times New Roman" w:hAnsi="Times New Roman"/>
          <w:sz w:val="24"/>
          <w:szCs w:val="24"/>
        </w:rPr>
        <w:t xml:space="preserve">Uma senadora da República vai pra frente das câmeras e acusa um deputado federal de estupro de uma menina de treze anos. Quando cobram prova, ela escreve: “não temos o dever de provar absolutamente nada”.</w:t>
      </w:r>
    </w:p>
    <w:p>
      <w:pPr>
        <w:spacing w:after="100"/>
        <w:ind w:left="360"/>
      </w:pPr>
      <w:r>
        <w:rPr>
          <w:rFonts w:ascii="Times New Roman" w:cs="Times New Roman" w:eastAsia="Times New Roman" w:hAnsi="Times New Roman"/>
          <w:i/>
          <w:iCs/>
          <w:color w:val="555555"/>
          <w:sz w:val="20"/>
          <w:szCs w:val="20"/>
        </w:rPr>
        <w:t xml:space="preserve">[NA TELA: frase da Soraya em destaque: “não temos o dever de provar absolutamente nada”]</w:t>
      </w:r>
    </w:p>
    <w:p>
      <w:pPr>
        <w:spacing w:after="120"/>
        <w:jc w:val="both"/>
      </w:pPr>
      <w:r>
        <w:rPr>
          <w:rFonts w:ascii="Times New Roman" w:cs="Times New Roman" w:eastAsia="Times New Roman" w:hAnsi="Times New Roman"/>
          <w:sz w:val="24"/>
          <w:szCs w:val="24"/>
        </w:rPr>
        <w:t xml:space="preserve">Seis meses depois, duas decisões saem na mesma semana. O ministro Gilmar Mendes, no Supremo, arquiva o pedido de investigação. E um juiz de Maceió condena a senadora a pagar cinquenta mil reais ao deputado.</w:t>
      </w:r>
    </w:p>
    <w:p>
      <w:pPr>
        <w:spacing w:after="120"/>
        <w:jc w:val="both"/>
      </w:pPr>
      <w:r>
        <w:rPr>
          <w:rFonts w:ascii="Times New Roman" w:cs="Times New Roman" w:eastAsia="Times New Roman" w:hAnsi="Times New Roman"/>
          <w:sz w:val="24"/>
          <w:szCs w:val="24"/>
        </w:rPr>
        <w:t xml:space="preserve">O deputado é o Alfredo Gaspar, hoje vice na chapa do Flávio Bolsonaro. A senadora é a Soraya Thronicke.</w:t>
      </w:r>
    </w:p>
    <w:p>
      <w:pPr>
        <w:spacing w:after="120"/>
        <w:jc w:val="both"/>
      </w:pPr>
      <w:r>
        <w:rPr>
          <w:rFonts w:ascii="Times New Roman" w:cs="Times New Roman" w:eastAsia="Times New Roman" w:hAnsi="Times New Roman"/>
          <w:sz w:val="24"/>
          <w:szCs w:val="24"/>
        </w:rPr>
        <w:t xml:space="preserve">Eu sou o Dr. Ryan, sou advogado, e eu não vou fazer aqui o que os portais fazem, que é ler a manchete. Eu li a decisão do Supremo e li o processo inteiro, as 147 folhas. E vou te mostrar, documento por documento, por que essa frase dela não para em pé, e onde fica o limite da imunidade parlamentar. Fica até o final, porque tem um ponto aqui que vale pra qualquer pessoa, não só pra político.</w:t>
      </w:r>
    </w:p>
    <w:p>
      <w:pPr>
        <w:spacing w:after="80" w:before="200"/>
      </w:pPr>
      <w:r>
        <w:rPr>
          <w:rFonts w:ascii="Times New Roman" w:cs="Times New Roman" w:eastAsia="Times New Roman" w:hAnsi="Times New Roman"/>
          <w:b/>
          <w:bCs/>
          <w:sz w:val="24"/>
          <w:szCs w:val="24"/>
        </w:rPr>
        <w:t xml:space="preserve">1. O CONTEXTO: A CPMI DO INSS</w:t>
      </w:r>
    </w:p>
    <w:p>
      <w:pPr>
        <w:spacing w:after="120"/>
        <w:jc w:val="both"/>
      </w:pPr>
      <w:r>
        <w:rPr>
          <w:rFonts w:ascii="Times New Roman" w:cs="Times New Roman" w:eastAsia="Times New Roman" w:hAnsi="Times New Roman"/>
          <w:sz w:val="24"/>
          <w:szCs w:val="24"/>
        </w:rPr>
        <w:t xml:space="preserve">Primeiro, o contexto, porque sem ele nada faz sentido.</w:t>
      </w:r>
    </w:p>
    <w:p>
      <w:pPr>
        <w:spacing w:after="120"/>
        <w:jc w:val="both"/>
      </w:pPr>
      <w:r>
        <w:rPr>
          <w:rFonts w:ascii="Times New Roman" w:cs="Times New Roman" w:eastAsia="Times New Roman" w:hAnsi="Times New Roman"/>
          <w:sz w:val="24"/>
          <w:szCs w:val="24"/>
        </w:rPr>
        <w:t xml:space="preserve">O Alfredo Gaspar era o relator da CPMI do INSS, a comissão que investigou os descontos indevidos nas aposentadorias. Relator é quem escreve o relatório final, quem diz quem deve ser indiciado.</w:t>
      </w:r>
    </w:p>
    <w:p>
      <w:pPr>
        <w:spacing w:after="120"/>
        <w:jc w:val="both"/>
      </w:pPr>
      <w:r>
        <w:rPr>
          <w:rFonts w:ascii="Times New Roman" w:cs="Times New Roman" w:eastAsia="Times New Roman" w:hAnsi="Times New Roman"/>
          <w:sz w:val="24"/>
          <w:szCs w:val="24"/>
        </w:rPr>
        <w:t xml:space="preserve">E o relatório dele pediu o indiciamento de 216 pessoas. Entre elas, o Fábio Luís, o Lulinha, filho do presidente Lula.</w:t>
      </w:r>
    </w:p>
    <w:p>
      <w:pPr>
        <w:spacing w:after="100"/>
        <w:ind w:left="360"/>
      </w:pPr>
      <w:r>
        <w:rPr>
          <w:rFonts w:ascii="Times New Roman" w:cs="Times New Roman" w:eastAsia="Times New Roman" w:hAnsi="Times New Roman"/>
          <w:i/>
          <w:iCs/>
          <w:color w:val="555555"/>
          <w:sz w:val="20"/>
          <w:szCs w:val="20"/>
        </w:rPr>
        <w:t xml:space="preserve">[NA TELA: manchete sobre o relatório da CPMI com os 216 pedidos de indiciamento]</w:t>
      </w:r>
    </w:p>
    <w:p>
      <w:pPr>
        <w:spacing w:after="120"/>
        <w:jc w:val="both"/>
      </w:pPr>
      <w:r>
        <w:rPr>
          <w:rFonts w:ascii="Times New Roman" w:cs="Times New Roman" w:eastAsia="Times New Roman" w:hAnsi="Times New Roman"/>
          <w:sz w:val="24"/>
          <w:szCs w:val="24"/>
        </w:rPr>
        <w:t xml:space="preserve">Pois bem. No dia 27 de março, o mesmo dia da sessão final da CPMI, a senadora Soraya Thronicke e o deputado Lindbergh Farias, do PT, fazem uma coletiva no Congresso e acusam o Gaspar de ter engravidado uma adolescente de treze anos em Alagoas. E levam o caso à Polícia Federal.</w:t>
      </w:r>
    </w:p>
    <w:p>
      <w:pPr>
        <w:spacing w:after="120"/>
        <w:jc w:val="both"/>
      </w:pPr>
      <w:r>
        <w:rPr>
          <w:rFonts w:ascii="Times New Roman" w:cs="Times New Roman" w:eastAsia="Times New Roman" w:hAnsi="Times New Roman"/>
          <w:sz w:val="24"/>
          <w:szCs w:val="24"/>
        </w:rPr>
        <w:t xml:space="preserve">Guarda essa data. O relator que pedia o indiciamento do filho do presidente é acusado de estupro de vulnerável no dia da votação do relatório. Eu não estou dizendo o que estava na cabeça de ninguém. Eu estou te mostrando o calendário.</w:t>
      </w:r>
    </w:p>
    <w:p>
      <w:pPr>
        <w:spacing w:after="80" w:before="200"/>
      </w:pPr>
      <w:r>
        <w:rPr>
          <w:rFonts w:ascii="Times New Roman" w:cs="Times New Roman" w:eastAsia="Times New Roman" w:hAnsi="Times New Roman"/>
          <w:b/>
          <w:bCs/>
          <w:sz w:val="24"/>
          <w:szCs w:val="24"/>
        </w:rPr>
        <w:t xml:space="preserve">2. A FRASE: “NÃO TEMOS O DEVER DE PROVAR”</w:t>
      </w:r>
    </w:p>
    <w:p>
      <w:pPr>
        <w:spacing w:after="120"/>
        <w:jc w:val="both"/>
      </w:pPr>
      <w:r>
        <w:rPr>
          <w:rFonts w:ascii="Times New Roman" w:cs="Times New Roman" w:eastAsia="Times New Roman" w:hAnsi="Times New Roman"/>
          <w:sz w:val="24"/>
          <w:szCs w:val="24"/>
        </w:rPr>
        <w:t xml:space="preserve">Aí começa a cobrança: cadê a prova? E a resposta da senadora foi essa frase, que está juntada no processo e que ela não contestou: “não temos o dever de provar absolutamente nada”.</w:t>
      </w:r>
    </w:p>
    <w:p>
      <w:pPr>
        <w:spacing w:after="100"/>
        <w:ind w:left="360"/>
      </w:pPr>
      <w:r>
        <w:rPr>
          <w:rFonts w:ascii="Times New Roman" w:cs="Times New Roman" w:eastAsia="Times New Roman" w:hAnsi="Times New Roman"/>
          <w:i/>
          <w:iCs/>
          <w:color w:val="555555"/>
          <w:sz w:val="20"/>
          <w:szCs w:val="20"/>
        </w:rPr>
        <w:t xml:space="preserve">[NA TELA: folha 99 dos autos, trecho da réplica que transcreve a postagem]</w:t>
      </w:r>
    </w:p>
    <w:p>
      <w:pPr>
        <w:spacing w:after="120"/>
        <w:jc w:val="both"/>
      </w:pPr>
      <w:r>
        <w:rPr>
          <w:rFonts w:ascii="Times New Roman" w:cs="Times New Roman" w:eastAsia="Times New Roman" w:hAnsi="Times New Roman"/>
          <w:sz w:val="24"/>
          <w:szCs w:val="24"/>
        </w:rPr>
        <w:t xml:space="preserve">Ela se apoiou numa súmula do Superior Tribunal de Justiça, a Súmula 301. E eu vou ler pra você o que ela diz: em ação de investigação de paternidade, se o suposto pai se recusa a fazer o exame de DNA, presume-se que ele é o pai. É uma presunção relativa, ou seja, vale até prova em contrário.</w:t>
      </w:r>
    </w:p>
    <w:p>
      <w:pPr>
        <w:spacing w:after="100"/>
        <w:ind w:left="360"/>
      </w:pPr>
      <w:r>
        <w:rPr>
          <w:rFonts w:ascii="Times New Roman" w:cs="Times New Roman" w:eastAsia="Times New Roman" w:hAnsi="Times New Roman"/>
          <w:i/>
          <w:iCs/>
          <w:color w:val="555555"/>
          <w:sz w:val="20"/>
          <w:szCs w:val="20"/>
        </w:rPr>
        <w:t xml:space="preserve">[NA TELA: texto da Súmula 301 do STJ]</w:t>
      </w:r>
    </w:p>
    <w:p>
      <w:pPr>
        <w:spacing w:after="120"/>
        <w:jc w:val="both"/>
      </w:pPr>
      <w:r>
        <w:rPr>
          <w:rFonts w:ascii="Times New Roman" w:cs="Times New Roman" w:eastAsia="Times New Roman" w:hAnsi="Times New Roman"/>
          <w:sz w:val="24"/>
          <w:szCs w:val="24"/>
        </w:rPr>
        <w:t xml:space="preserve">E ela citou também o artigo 373 do Código de Processo Civil, dizendo que caberia a ele afastar os indícios. Só que o inciso primeiro desse mesmo artigo diz o contrário: o ônus da prova cabe a quem alega o fato. Quem apresenta a acusação é que tem que provar.</w:t>
      </w:r>
    </w:p>
    <w:p>
      <w:pPr>
        <w:spacing w:after="120"/>
        <w:jc w:val="both"/>
      </w:pPr>
      <w:r>
        <w:rPr>
          <w:rFonts w:ascii="Times New Roman" w:cs="Times New Roman" w:eastAsia="Times New Roman" w:hAnsi="Times New Roman"/>
          <w:sz w:val="24"/>
          <w:szCs w:val="24"/>
        </w:rPr>
        <w:t xml:space="preserve">Agora presta atenção, porque aqui tem dois erros.</w:t>
      </w:r>
    </w:p>
    <w:p>
      <w:pPr>
        <w:spacing w:after="120"/>
        <w:jc w:val="both"/>
      </w:pPr>
      <w:r>
        <w:rPr>
          <w:rFonts w:ascii="Times New Roman" w:cs="Times New Roman" w:eastAsia="Times New Roman" w:hAnsi="Times New Roman"/>
          <w:sz w:val="24"/>
          <w:szCs w:val="24"/>
        </w:rPr>
        <w:t xml:space="preserve">O primeiro erro: essa súmula é de ação de paternidade. É processo cível, de família. Serve pra criança que quer o nome do pai na certidão, pra pensão. Ela não serve pra acusar ninguém de crime. Ninguém vai preso por presunção de paternidade.</w:t>
      </w:r>
    </w:p>
    <w:p>
      <w:pPr>
        <w:spacing w:after="120"/>
        <w:jc w:val="both"/>
      </w:pPr>
      <w:r>
        <w:rPr>
          <w:rFonts w:ascii="Times New Roman" w:cs="Times New Roman" w:eastAsia="Times New Roman" w:hAnsi="Times New Roman"/>
          <w:sz w:val="24"/>
          <w:szCs w:val="24"/>
        </w:rPr>
        <w:t xml:space="preserve">O segundo erro é ainda pior: o Gaspar não se recusou a fazer DNA nenhum. Foi ele que foi à Justiça pedir pra fazer o exame. Ele entrou com um pedido de produção antecipada de prova, o juiz deferiu, e no dia 23 de abril o material genético dele foi coletado pela Polícia Científica de Alagoas.</w:t>
      </w:r>
    </w:p>
    <w:p>
      <w:pPr>
        <w:spacing w:after="100"/>
        <w:ind w:left="360"/>
      </w:pPr>
      <w:r>
        <w:rPr>
          <w:rFonts w:ascii="Times New Roman" w:cs="Times New Roman" w:eastAsia="Times New Roman" w:hAnsi="Times New Roman"/>
          <w:i/>
          <w:iCs/>
          <w:color w:val="555555"/>
          <w:sz w:val="20"/>
          <w:szCs w:val="20"/>
        </w:rPr>
        <w:t xml:space="preserve">[NA TELA: decisão que deferiu o exame (folhas 39 a 44) e laudo (folhas 61 a 66)]</w:t>
      </w:r>
    </w:p>
    <w:p>
      <w:pPr>
        <w:spacing w:after="120"/>
        <w:jc w:val="both"/>
      </w:pPr>
      <w:r>
        <w:rPr>
          <w:rFonts w:ascii="Times New Roman" w:cs="Times New Roman" w:eastAsia="Times New Roman" w:hAnsi="Times New Roman"/>
          <w:sz w:val="24"/>
          <w:szCs w:val="24"/>
        </w:rPr>
        <w:t xml:space="preserve">E o laudo diz o seguinte: perfil genético único e completo, apto para exames comparativos. Ou seja: o DNA dele está pronto. Se alguém aparecer com uma criança, é só comparar.</w:t>
      </w:r>
    </w:p>
    <w:p>
      <w:pPr>
        <w:spacing w:after="120"/>
        <w:jc w:val="both"/>
      </w:pPr>
      <w:r>
        <w:rPr>
          <w:rFonts w:ascii="Times New Roman" w:cs="Times New Roman" w:eastAsia="Times New Roman" w:hAnsi="Times New Roman"/>
          <w:sz w:val="24"/>
          <w:szCs w:val="24"/>
        </w:rPr>
        <w:t xml:space="preserve">E sabe o que aconteceu? Até hoje não apareceu ninguém pra comparar. Então a pessoa que fugiu do DNA não foi ele. Quem pediu o exame foi justamente o acusado.</w:t>
      </w:r>
    </w:p>
    <w:p>
      <w:pPr>
        <w:spacing w:after="80" w:before="200"/>
      </w:pPr>
      <w:r>
        <w:rPr>
          <w:rFonts w:ascii="Times New Roman" w:cs="Times New Roman" w:eastAsia="Times New Roman" w:hAnsi="Times New Roman"/>
          <w:b/>
          <w:bCs/>
          <w:sz w:val="24"/>
          <w:szCs w:val="24"/>
        </w:rPr>
        <w:t xml:space="preserve">3. QUEM ACUSA É QUE PROVA</w:t>
      </w:r>
    </w:p>
    <w:p>
      <w:pPr>
        <w:spacing w:after="120"/>
        <w:jc w:val="both"/>
      </w:pPr>
      <w:r>
        <w:rPr>
          <w:rFonts w:ascii="Times New Roman" w:cs="Times New Roman" w:eastAsia="Times New Roman" w:hAnsi="Times New Roman"/>
          <w:sz w:val="24"/>
          <w:szCs w:val="24"/>
        </w:rPr>
        <w:t xml:space="preserve">Agora vamos à regra de verdade. Quando a acusação é de crime, a lei é clara.</w:t>
      </w:r>
    </w:p>
    <w:p>
      <w:pPr>
        <w:spacing w:after="120"/>
        <w:jc w:val="both"/>
      </w:pPr>
      <w:r>
        <w:rPr>
          <w:rFonts w:ascii="Times New Roman" w:cs="Times New Roman" w:eastAsia="Times New Roman" w:hAnsi="Times New Roman"/>
          <w:sz w:val="24"/>
          <w:szCs w:val="24"/>
        </w:rPr>
        <w:t xml:space="preserve">O artigo 156 do Código de Processo Penal diz, com todas as letras: a prova da alegação incumbirá a quem a fizer. Quem acusa é que tem que provar. O acusado não tem que provar que é inocente.</w:t>
      </w:r>
    </w:p>
    <w:p>
      <w:pPr>
        <w:spacing w:after="100"/>
        <w:ind w:left="360"/>
      </w:pPr>
      <w:r>
        <w:rPr>
          <w:rFonts w:ascii="Times New Roman" w:cs="Times New Roman" w:eastAsia="Times New Roman" w:hAnsi="Times New Roman"/>
          <w:i/>
          <w:iCs/>
          <w:color w:val="555555"/>
          <w:sz w:val="20"/>
          <w:szCs w:val="20"/>
        </w:rPr>
        <w:t xml:space="preserve">[NA TELA: art. 156 do CPP]</w:t>
      </w:r>
    </w:p>
    <w:p>
      <w:pPr>
        <w:spacing w:after="120"/>
        <w:jc w:val="both"/>
      </w:pPr>
      <w:r>
        <w:rPr>
          <w:rFonts w:ascii="Times New Roman" w:cs="Times New Roman" w:eastAsia="Times New Roman" w:hAnsi="Times New Roman"/>
          <w:sz w:val="24"/>
          <w:szCs w:val="24"/>
        </w:rPr>
        <w:t xml:space="preserve">E isso não é detalhe técnico. Está na Constituição. O artigo 5º, inciso 57, diz que ninguém será considerado culpado até o trânsito em julgado de sentença penal condenatória. É a presunção de inocência.</w:t>
      </w:r>
    </w:p>
    <w:p>
      <w:pPr>
        <w:spacing w:after="100"/>
        <w:ind w:left="360"/>
      </w:pPr>
      <w:r>
        <w:rPr>
          <w:rFonts w:ascii="Times New Roman" w:cs="Times New Roman" w:eastAsia="Times New Roman" w:hAnsi="Times New Roman"/>
          <w:i/>
          <w:iCs/>
          <w:color w:val="555555"/>
          <w:sz w:val="20"/>
          <w:szCs w:val="20"/>
        </w:rPr>
        <w:t xml:space="preserve">[NA TELA: art. 5º, LVII, da Constituição]</w:t>
      </w:r>
    </w:p>
    <w:p>
      <w:pPr>
        <w:spacing w:after="120"/>
        <w:jc w:val="both"/>
      </w:pPr>
      <w:r>
        <w:rPr>
          <w:rFonts w:ascii="Times New Roman" w:cs="Times New Roman" w:eastAsia="Times New Roman" w:hAnsi="Times New Roman"/>
          <w:sz w:val="24"/>
          <w:szCs w:val="24"/>
        </w:rPr>
        <w:t xml:space="preserve">Pensa comigo: se valesse a lógica do “eu acuso e você que se vire pra provar que não fez”, qualquer um de nós poderia ser destruído amanhã. Basta alguém com microfone dizer que você cometeu um crime. Essa regra protege você, não só o político.</w:t>
      </w:r>
    </w:p>
    <w:p>
      <w:pPr>
        <w:spacing w:after="80" w:before="200"/>
      </w:pPr>
      <w:r>
        <w:rPr>
          <w:rFonts w:ascii="Times New Roman" w:cs="Times New Roman" w:eastAsia="Times New Roman" w:hAnsi="Times New Roman"/>
          <w:b/>
          <w:bCs/>
          <w:sz w:val="24"/>
          <w:szCs w:val="24"/>
        </w:rPr>
        <w:t xml:space="preserve">4. O QUE O SUPREMO FEZ COM A ACUSAÇÃO</w:t>
      </w:r>
    </w:p>
    <w:p>
      <w:pPr>
        <w:spacing w:after="120"/>
        <w:jc w:val="both"/>
      </w:pPr>
      <w:r>
        <w:rPr>
          <w:rFonts w:ascii="Times New Roman" w:cs="Times New Roman" w:eastAsia="Times New Roman" w:hAnsi="Times New Roman"/>
          <w:sz w:val="24"/>
          <w:szCs w:val="24"/>
        </w:rPr>
        <w:t xml:space="preserve">Aí vem a parte que eu acho mais importante, e quase ninguém mostrou. O que aconteceu com a acusação dentro do Supremo?</w:t>
      </w:r>
    </w:p>
    <w:p>
      <w:pPr>
        <w:spacing w:after="120"/>
        <w:jc w:val="both"/>
      </w:pPr>
      <w:r>
        <w:rPr>
          <w:rFonts w:ascii="Times New Roman" w:cs="Times New Roman" w:eastAsia="Times New Roman" w:hAnsi="Times New Roman"/>
          <w:sz w:val="24"/>
          <w:szCs w:val="24"/>
        </w:rPr>
        <w:t xml:space="preserve">A Polícia Federal pediu ao STF pra abrir inquérito contra o Gaspar. Como ele é deputado, quem decide é o Supremo. O relator foi o ministro Gilmar Mendes. E ninguém vai me dizer que o Gilmar Mendes é bolsonarista.</w:t>
      </w:r>
    </w:p>
    <w:p>
      <w:pPr>
        <w:spacing w:after="100"/>
        <w:ind w:left="360"/>
      </w:pPr>
      <w:r>
        <w:rPr>
          <w:rFonts w:ascii="Times New Roman" w:cs="Times New Roman" w:eastAsia="Times New Roman" w:hAnsi="Times New Roman"/>
          <w:i/>
          <w:iCs/>
          <w:color w:val="555555"/>
          <w:sz w:val="20"/>
          <w:szCs w:val="20"/>
        </w:rPr>
        <w:t xml:space="preserve">[NA TELA: primeira página da decisão na PET 15.905]</w:t>
      </w:r>
    </w:p>
    <w:p>
      <w:pPr>
        <w:spacing w:after="120"/>
        <w:jc w:val="both"/>
      </w:pPr>
      <w:r>
        <w:rPr>
          <w:rFonts w:ascii="Times New Roman" w:cs="Times New Roman" w:eastAsia="Times New Roman" w:hAnsi="Times New Roman"/>
          <w:sz w:val="24"/>
          <w:szCs w:val="24"/>
        </w:rPr>
        <w:t xml:space="preserve">O Gilmar não arquivou de cara. Ele fez o contrário: mandou investigar antes. Em agosto, mandou ofício pro Google e pras operadoras de telefonia, mandou transcrever os áudios e chamou os próprios denunciantes, a Soraya e o Lindbergh, pra completar as informações.</w:t>
      </w:r>
    </w:p>
    <w:p>
      <w:pPr>
        <w:spacing w:after="120"/>
        <w:jc w:val="both"/>
      </w:pPr>
      <w:r>
        <w:rPr>
          <w:rFonts w:ascii="Times New Roman" w:cs="Times New Roman" w:eastAsia="Times New Roman" w:hAnsi="Times New Roman"/>
          <w:sz w:val="24"/>
          <w:szCs w:val="24"/>
        </w:rPr>
        <w:t xml:space="preserve">Ou seja: deram a eles a chance de trazer a prova.</w:t>
      </w:r>
    </w:p>
    <w:p>
      <w:pPr>
        <w:spacing w:after="120"/>
        <w:jc w:val="both"/>
      </w:pPr>
      <w:r>
        <w:rPr>
          <w:rFonts w:ascii="Times New Roman" w:cs="Times New Roman" w:eastAsia="Times New Roman" w:hAnsi="Times New Roman"/>
          <w:sz w:val="24"/>
          <w:szCs w:val="24"/>
        </w:rPr>
        <w:t xml:space="preserve">Resultado. A Procuradoria-Geral da República, que é quem acusa no Supremo, disse que não havia demonstração de que o crime existiu nem indícios concretos contra o parlamentar. E que a mera citação do nome dele não autoriza abrir inquérito.</w:t>
      </w:r>
    </w:p>
    <w:p>
      <w:pPr>
        <w:spacing w:after="100"/>
        <w:ind w:left="360"/>
      </w:pPr>
      <w:r>
        <w:rPr>
          <w:rFonts w:ascii="Times New Roman" w:cs="Times New Roman" w:eastAsia="Times New Roman" w:hAnsi="Times New Roman"/>
          <w:i/>
          <w:iCs/>
          <w:color w:val="555555"/>
          <w:sz w:val="20"/>
          <w:szCs w:val="20"/>
        </w:rPr>
        <w:t xml:space="preserve">[NA TELA: trecho da decisão com a manifestação da PGR]</w:t>
      </w:r>
    </w:p>
    <w:p>
      <w:pPr>
        <w:spacing w:after="120"/>
        <w:jc w:val="both"/>
      </w:pPr>
      <w:r>
        <w:rPr>
          <w:rFonts w:ascii="Times New Roman" w:cs="Times New Roman" w:eastAsia="Times New Roman" w:hAnsi="Times New Roman"/>
          <w:sz w:val="24"/>
          <w:szCs w:val="24"/>
        </w:rPr>
        <w:t xml:space="preserve">E o Gilmar escreveu, e eu vou ler, porque isso é importante: as capturas de tela, os arquivos de áudio, os dados de e-mail e telefone e os relatos “não se mostram suficientemente corroborados entre si nem encontram respaldo em elementos externos e independentes”.</w:t>
      </w:r>
    </w:p>
    <w:p>
      <w:pPr>
        <w:spacing w:after="100"/>
        <w:ind w:left="360"/>
      </w:pPr>
      <w:r>
        <w:rPr>
          <w:rFonts w:ascii="Times New Roman" w:cs="Times New Roman" w:eastAsia="Times New Roman" w:hAnsi="Times New Roman"/>
          <w:i/>
          <w:iCs/>
          <w:color w:val="555555"/>
          <w:sz w:val="20"/>
          <w:szCs w:val="20"/>
        </w:rPr>
        <w:t xml:space="preserve">[NA TELA: trecho da decisão com essa frase em destaque]</w:t>
      </w:r>
    </w:p>
    <w:p>
      <w:pPr>
        <w:spacing w:after="120"/>
        <w:jc w:val="both"/>
      </w:pPr>
      <w:r>
        <w:rPr>
          <w:rFonts w:ascii="Times New Roman" w:cs="Times New Roman" w:eastAsia="Times New Roman" w:hAnsi="Times New Roman"/>
          <w:sz w:val="24"/>
          <w:szCs w:val="24"/>
        </w:rPr>
        <w:t xml:space="preserve">Traduzindo: o que eles levaram não fechava nem entre si, e não tinha nada de fora que confirmasse. Arquivado, no dia 6 de outubro.</w:t>
      </w:r>
    </w:p>
    <w:p>
      <w:pPr>
        <w:spacing w:after="120"/>
        <w:jc w:val="both"/>
      </w:pPr>
      <w:r>
        <w:rPr>
          <w:rFonts w:ascii="Times New Roman" w:cs="Times New Roman" w:eastAsia="Times New Roman" w:hAnsi="Times New Roman"/>
          <w:sz w:val="24"/>
          <w:szCs w:val="24"/>
        </w:rPr>
        <w:t xml:space="preserve">Agora, eu vou ser honesto com você, porque eu sou advogado e não posso enganar ninguém. Arquivamento não é absolvição. Se surgir prova nova, pode reabrir. Mas olha o tamanho disso: com a Polícia Federal pedindo, com diligência no Google e nas operadoras, com os denunciantes chamados pra completar, não se chegou nem ao mínimo pra abrir um inquérito. Não é que faltou prova pra condenar. Faltou base até pra investigar.</w:t>
      </w:r>
    </w:p>
    <w:p>
      <w:pPr>
        <w:spacing w:after="80" w:before="200"/>
      </w:pPr>
      <w:r>
        <w:rPr>
          <w:rFonts w:ascii="Times New Roman" w:cs="Times New Roman" w:eastAsia="Times New Roman" w:hAnsi="Times New Roman"/>
          <w:b/>
          <w:bCs/>
          <w:sz w:val="24"/>
          <w:szCs w:val="24"/>
        </w:rPr>
        <w:t xml:space="preserve">5. A IMUNIDADE PARLAMENTAR: O ARGUMENTO DA SENADORA</w:t>
      </w:r>
    </w:p>
    <w:p>
      <w:pPr>
        <w:spacing w:after="120"/>
        <w:jc w:val="both"/>
      </w:pPr>
      <w:r>
        <w:rPr>
          <w:rFonts w:ascii="Times New Roman" w:cs="Times New Roman" w:eastAsia="Times New Roman" w:hAnsi="Times New Roman"/>
          <w:sz w:val="24"/>
          <w:szCs w:val="24"/>
        </w:rPr>
        <w:t xml:space="preserve">Agora o processo cível, que é onde ela foi condenada.</w:t>
      </w:r>
    </w:p>
    <w:p>
      <w:pPr>
        <w:spacing w:after="120"/>
        <w:jc w:val="both"/>
      </w:pPr>
      <w:r>
        <w:rPr>
          <w:rFonts w:ascii="Times New Roman" w:cs="Times New Roman" w:eastAsia="Times New Roman" w:hAnsi="Times New Roman"/>
          <w:sz w:val="24"/>
          <w:szCs w:val="24"/>
        </w:rPr>
        <w:t xml:space="preserve">O Gaspar entrou com ação de indenização por danos morais em Maceió. E qual foi a principal defesa da senadora? Imunidade parlamentar.</w:t>
      </w:r>
    </w:p>
    <w:p>
      <w:pPr>
        <w:spacing w:after="120"/>
        <w:jc w:val="both"/>
      </w:pPr>
      <w:r>
        <w:rPr>
          <w:rFonts w:ascii="Times New Roman" w:cs="Times New Roman" w:eastAsia="Times New Roman" w:hAnsi="Times New Roman"/>
          <w:sz w:val="24"/>
          <w:szCs w:val="24"/>
        </w:rPr>
        <w:t xml:space="preserve">O artigo 53 da Constituição diz que deputados e senadores são invioláveis, civil e penalmente, por quaisquer de suas opiniões, palavras e votos. E essa garantia existe por um bom motivo: parlamentar tem que poder denunciar, fiscalizar, criticar governo, sem medo de ser processado por cada discurso.</w:t>
      </w:r>
    </w:p>
    <w:p>
      <w:pPr>
        <w:spacing w:after="100"/>
        <w:ind w:left="360"/>
      </w:pPr>
      <w:r>
        <w:rPr>
          <w:rFonts w:ascii="Times New Roman" w:cs="Times New Roman" w:eastAsia="Times New Roman" w:hAnsi="Times New Roman"/>
          <w:i/>
          <w:iCs/>
          <w:color w:val="555555"/>
          <w:sz w:val="20"/>
          <w:szCs w:val="20"/>
        </w:rPr>
        <w:t xml:space="preserve">[NA TELA: art. 53 da Constituição]</w:t>
      </w:r>
    </w:p>
    <w:p>
      <w:pPr>
        <w:spacing w:after="120"/>
        <w:jc w:val="both"/>
      </w:pPr>
      <w:r>
        <w:rPr>
          <w:rFonts w:ascii="Times New Roman" w:cs="Times New Roman" w:eastAsia="Times New Roman" w:hAnsi="Times New Roman"/>
          <w:sz w:val="24"/>
          <w:szCs w:val="24"/>
        </w:rPr>
        <w:t xml:space="preserve">Só que a defesa dela foi muito além. Olha o que está escrito na contestação, na folha 75: “a denúncia pública feita por um parlamentar não necessita vir acompanhada de provas ou de testemunhas”.</w:t>
      </w:r>
    </w:p>
    <w:p>
      <w:pPr>
        <w:spacing w:after="100"/>
        <w:ind w:left="360"/>
      </w:pPr>
      <w:r>
        <w:rPr>
          <w:rFonts w:ascii="Times New Roman" w:cs="Times New Roman" w:eastAsia="Times New Roman" w:hAnsi="Times New Roman"/>
          <w:i/>
          <w:iCs/>
          <w:color w:val="555555"/>
          <w:sz w:val="20"/>
          <w:szCs w:val="20"/>
        </w:rPr>
        <w:t xml:space="preserve">[NA TELA: folha 75 dos autos, trecho da contestação]</w:t>
      </w:r>
    </w:p>
    <w:p>
      <w:pPr>
        <w:spacing w:after="120"/>
        <w:jc w:val="both"/>
      </w:pPr>
      <w:r>
        <w:rPr>
          <w:rFonts w:ascii="Times New Roman" w:cs="Times New Roman" w:eastAsia="Times New Roman" w:hAnsi="Times New Roman"/>
          <w:sz w:val="24"/>
          <w:szCs w:val="24"/>
        </w:rPr>
        <w:t xml:space="preserve">Pensa no que essa tese significa. Significa que qualquer um dos 594 parlamentares do Brasil poderia acusar qualquer cidadão de qualquer crime, sem prova nenhuma, e nada aconteceria. Isso não é imunidade. Isso é licença pra destruir reputação.</w:t>
      </w:r>
    </w:p>
    <w:p>
      <w:pPr>
        <w:spacing w:after="80" w:before="200"/>
      </w:pPr>
      <w:r>
        <w:rPr>
          <w:rFonts w:ascii="Times New Roman" w:cs="Times New Roman" w:eastAsia="Times New Roman" w:hAnsi="Times New Roman"/>
          <w:b/>
          <w:bCs/>
          <w:sz w:val="24"/>
          <w:szCs w:val="24"/>
        </w:rPr>
        <w:t xml:space="preserve">6. O QUE O JUIZ DECIDIU E POR QUÊ</w:t>
      </w:r>
    </w:p>
    <w:p>
      <w:pPr>
        <w:spacing w:after="120"/>
        <w:jc w:val="both"/>
      </w:pPr>
      <w:r>
        <w:rPr>
          <w:rFonts w:ascii="Times New Roman" w:cs="Times New Roman" w:eastAsia="Times New Roman" w:hAnsi="Times New Roman"/>
          <w:sz w:val="24"/>
          <w:szCs w:val="24"/>
        </w:rPr>
        <w:t xml:space="preserve">E o juiz, da 3ª Vara Cível de Maceió, respondeu ponto por ponto. Eu separei os trechos.</w:t>
      </w:r>
    </w:p>
    <w:p>
      <w:pPr>
        <w:spacing w:after="120"/>
        <w:jc w:val="both"/>
      </w:pPr>
      <w:r>
        <w:rPr>
          <w:rFonts w:ascii="Times New Roman" w:cs="Times New Roman" w:eastAsia="Times New Roman" w:hAnsi="Times New Roman"/>
          <w:sz w:val="24"/>
          <w:szCs w:val="24"/>
        </w:rPr>
        <w:t xml:space="preserve">Primeiro: o próprio Supremo entende que, fora do recinto do Parlamento, a imunidade depende de ligação com o exercício do mandato. Ela não vale pra tudo que o parlamentar fala só porque ele é parlamentar.</w:t>
      </w:r>
    </w:p>
    <w:p>
      <w:pPr>
        <w:spacing w:after="120"/>
        <w:jc w:val="both"/>
      </w:pPr>
      <w:r>
        <w:rPr>
          <w:rFonts w:ascii="Times New Roman" w:cs="Times New Roman" w:eastAsia="Times New Roman" w:hAnsi="Times New Roman"/>
          <w:sz w:val="24"/>
          <w:szCs w:val="24"/>
        </w:rPr>
        <w:t xml:space="preserve">Segundo, e esse é o coração da sentença: o juiz diz que há uma diferença fundamental entre criticar politicamente um agente público, questionar a atuação dele, levantar suspeitas a partir de elementos concretos, e, de outro lado, imputar diretamente a ele um crime de extrema gravidade sem prova minimamente consistente.</w:t>
      </w:r>
    </w:p>
    <w:p>
      <w:pPr>
        <w:spacing w:after="100"/>
        <w:ind w:left="360"/>
      </w:pPr>
      <w:r>
        <w:rPr>
          <w:rFonts w:ascii="Times New Roman" w:cs="Times New Roman" w:eastAsia="Times New Roman" w:hAnsi="Times New Roman"/>
          <w:i/>
          <w:iCs/>
          <w:color w:val="555555"/>
          <w:sz w:val="20"/>
          <w:szCs w:val="20"/>
        </w:rPr>
        <w:t xml:space="preserve">[NA TELA: folha 139 da sentença, trecho sobre a diferença entre crítica e imputação de crime]</w:t>
      </w:r>
    </w:p>
    <w:p>
      <w:pPr>
        <w:spacing w:after="120"/>
        <w:jc w:val="both"/>
      </w:pPr>
      <w:r>
        <w:rPr>
          <w:rFonts w:ascii="Times New Roman" w:cs="Times New Roman" w:eastAsia="Times New Roman" w:hAnsi="Times New Roman"/>
          <w:sz w:val="24"/>
          <w:szCs w:val="24"/>
        </w:rPr>
        <w:t xml:space="preserve">A crítica política está protegida. A acusação de crime sem base, não.</w:t>
      </w:r>
    </w:p>
    <w:p>
      <w:pPr>
        <w:spacing w:after="120"/>
        <w:jc w:val="both"/>
      </w:pPr>
      <w:r>
        <w:rPr>
          <w:rFonts w:ascii="Times New Roman" w:cs="Times New Roman" w:eastAsia="Times New Roman" w:hAnsi="Times New Roman"/>
          <w:sz w:val="24"/>
          <w:szCs w:val="24"/>
        </w:rPr>
        <w:t xml:space="preserve">Terceiro: a imunidade “não pode ser convertida em salvo-conduto para a imputação de fatos criminosos absolutamente dissociados de elementos minimamente idôneos de sustentação”. Essa frase está na sentença.</w:t>
      </w:r>
    </w:p>
    <w:p>
      <w:pPr>
        <w:spacing w:after="120"/>
        <w:jc w:val="both"/>
      </w:pPr>
      <w:r>
        <w:rPr>
          <w:rFonts w:ascii="Times New Roman" w:cs="Times New Roman" w:eastAsia="Times New Roman" w:hAnsi="Times New Roman"/>
          <w:sz w:val="24"/>
          <w:szCs w:val="24"/>
        </w:rPr>
        <w:t xml:space="preserve">E o juiz usou exatamente a decisão do Gilmar: se nem a investigação preliminar no Supremo achou base, a acusação pública não tinha plausibilidade.</w:t>
      </w:r>
    </w:p>
    <w:p>
      <w:pPr>
        <w:spacing w:after="120"/>
        <w:jc w:val="both"/>
      </w:pPr>
      <w:r>
        <w:rPr>
          <w:rFonts w:ascii="Times New Roman" w:cs="Times New Roman" w:eastAsia="Times New Roman" w:hAnsi="Times New Roman"/>
          <w:sz w:val="24"/>
          <w:szCs w:val="24"/>
        </w:rPr>
        <w:t xml:space="preserve">Aí entra o Código Civil. O artigo 186 diz que quem, por ação ou omissão, viola direito e causa dano a outro, ainda que exclusivamente moral, comete ato ilícito. O artigo 187 diz que também comete ato ilícito quem exerce um direito excedendo manifestamente os limites dele. E o artigo 927 manda reparar o dano.</w:t>
      </w:r>
    </w:p>
    <w:p>
      <w:pPr>
        <w:spacing w:after="100"/>
        <w:ind w:left="360"/>
      </w:pPr>
      <w:r>
        <w:rPr>
          <w:rFonts w:ascii="Times New Roman" w:cs="Times New Roman" w:eastAsia="Times New Roman" w:hAnsi="Times New Roman"/>
          <w:i/>
          <w:iCs/>
          <w:color w:val="555555"/>
          <w:sz w:val="20"/>
          <w:szCs w:val="20"/>
        </w:rPr>
        <w:t xml:space="preserve">[NA TELA: arts. 186, 187 e 927 do Código Civil]</w:t>
      </w:r>
    </w:p>
    <w:p>
      <w:pPr>
        <w:spacing w:after="120"/>
        <w:jc w:val="both"/>
      </w:pPr>
      <w:r>
        <w:rPr>
          <w:rFonts w:ascii="Times New Roman" w:cs="Times New Roman" w:eastAsia="Times New Roman" w:hAnsi="Times New Roman"/>
          <w:sz w:val="24"/>
          <w:szCs w:val="24"/>
        </w:rPr>
        <w:t xml:space="preserve">Repara no 187. Liberdade de expressão é um direito. Imunidade é uma garantia. Mas usar esse direito além do limite é ato ilícito. Foi isso que o juiz reconheceu.</w:t>
      </w:r>
    </w:p>
    <w:p>
      <w:pPr>
        <w:spacing w:after="120"/>
        <w:jc w:val="both"/>
      </w:pPr>
      <w:r>
        <w:rPr>
          <w:rFonts w:ascii="Times New Roman" w:cs="Times New Roman" w:eastAsia="Times New Roman" w:hAnsi="Times New Roman"/>
          <w:sz w:val="24"/>
          <w:szCs w:val="24"/>
        </w:rPr>
        <w:t xml:space="preserve">Condenação: cinquenta mil reais por danos morais, mais custas e honorários de dez por cento.</w:t>
      </w:r>
    </w:p>
    <w:p>
      <w:pPr>
        <w:spacing w:after="80" w:before="200"/>
      </w:pPr>
      <w:r>
        <w:rPr>
          <w:rFonts w:ascii="Times New Roman" w:cs="Times New Roman" w:eastAsia="Times New Roman" w:hAnsi="Times New Roman"/>
          <w:b/>
          <w:bCs/>
          <w:sz w:val="24"/>
          <w:szCs w:val="24"/>
        </w:rPr>
        <w:t xml:space="preserve">7. OS ARGUMENTOS QUE AINDA VÃO USAR</w:t>
      </w:r>
    </w:p>
    <w:p>
      <w:pPr>
        <w:spacing w:after="120"/>
        <w:jc w:val="both"/>
      </w:pPr>
      <w:r>
        <w:rPr>
          <w:rFonts w:ascii="Times New Roman" w:cs="Times New Roman" w:eastAsia="Times New Roman" w:hAnsi="Times New Roman"/>
          <w:sz w:val="24"/>
          <w:szCs w:val="24"/>
        </w:rPr>
        <w:t xml:space="preserve">Agora, os argumentos que eu já estou vendo nos comentários por aí.</w:t>
      </w:r>
    </w:p>
    <w:p>
      <w:pPr>
        <w:spacing w:after="120"/>
        <w:jc w:val="both"/>
      </w:pPr>
      <w:r>
        <w:rPr>
          <w:rFonts w:ascii="Times New Roman" w:cs="Times New Roman" w:eastAsia="Times New Roman" w:hAnsi="Times New Roman"/>
          <w:sz w:val="24"/>
          <w:szCs w:val="24"/>
        </w:rPr>
        <w:t xml:space="preserve">“Mas ela só levou a denúncia à polícia.” Denunciar à polícia é direito de qualquer pessoa, e eu defendo esse direito. Se ela tivesse levado ao delegado e esperado a investigação, a conversa era outra. O problema foi afirmar em coletiva, em rede social, de forma categórica, e depois dizer que não tinha que provar nada.</w:t>
      </w:r>
    </w:p>
    <w:p>
      <w:pPr>
        <w:spacing w:after="120"/>
        <w:jc w:val="both"/>
      </w:pPr>
      <w:r>
        <w:rPr>
          <w:rFonts w:ascii="Times New Roman" w:cs="Times New Roman" w:eastAsia="Times New Roman" w:hAnsi="Times New Roman"/>
          <w:sz w:val="24"/>
          <w:szCs w:val="24"/>
        </w:rPr>
        <w:t xml:space="preserve">“Mas ela tem direito de defesa e pode recorrer.” Tem, claro. A sentença é de primeira instância e cabe recurso ao Tribunal de Justiça de Alagoas. A senadora diz que não foi intimada e questiona as provas que o juiz não deixou produzir. É direito dela. Mas repara: a prova que ela queria era testemunha sobre a origem da denúncia. E a própria defesa dela tinha dito que parlamentar não precisa revelar fonte nem trazer prova. Não dá pra ter as duas coisas ao mesmo tempo.</w:t>
      </w:r>
    </w:p>
    <w:p>
      <w:pPr>
        <w:spacing w:after="120"/>
        <w:jc w:val="both"/>
      </w:pPr>
      <w:r>
        <w:rPr>
          <w:rFonts w:ascii="Times New Roman" w:cs="Times New Roman" w:eastAsia="Times New Roman" w:hAnsi="Times New Roman"/>
          <w:sz w:val="24"/>
          <w:szCs w:val="24"/>
        </w:rPr>
        <w:t xml:space="preserve">“Mas o Gaspar é político, tem que aguentar crítica.” Tem que aguentar crítica, sim, e muita. Mas a sentença responde isso também, citando o próprio julgado que a defesa dela trouxe: pessoa pública tem proteção menor contra crítica política, mas não contra acusação falsa de crime. Ser político não tira de ninguém o direito à honra.</w:t>
      </w:r>
    </w:p>
    <w:p>
      <w:pPr>
        <w:spacing w:after="80" w:before="200"/>
      </w:pPr>
      <w:r>
        <w:rPr>
          <w:rFonts w:ascii="Times New Roman" w:cs="Times New Roman" w:eastAsia="Times New Roman" w:hAnsi="Times New Roman"/>
          <w:b/>
          <w:bCs/>
          <w:sz w:val="24"/>
          <w:szCs w:val="24"/>
        </w:rPr>
        <w:t xml:space="preserve">8. MINHA OPINIÃO</w:t>
      </w:r>
    </w:p>
    <w:p>
      <w:pPr>
        <w:spacing w:after="120"/>
        <w:jc w:val="both"/>
      </w:pPr>
      <w:r>
        <w:rPr>
          <w:rFonts w:ascii="Times New Roman" w:cs="Times New Roman" w:eastAsia="Times New Roman" w:hAnsi="Times New Roman"/>
          <w:sz w:val="24"/>
          <w:szCs w:val="24"/>
        </w:rPr>
        <w:t xml:space="preserve">Então, qual é a minha opinião, como advogado?</w:t>
      </w:r>
    </w:p>
    <w:p>
      <w:pPr>
        <w:spacing w:after="120"/>
        <w:jc w:val="both"/>
      </w:pPr>
      <w:r>
        <w:rPr>
          <w:rFonts w:ascii="Times New Roman" w:cs="Times New Roman" w:eastAsia="Times New Roman" w:hAnsi="Times New Roman"/>
          <w:sz w:val="24"/>
          <w:szCs w:val="24"/>
        </w:rPr>
        <w:t xml:space="preserve">Na minha visão, esse caso é um exemplo perfeito de como não se faz política. Pega-se a acusação mais grave que existe, estupro de uma criança, joga-se no microfone no dia em que o adversário pede o indiciamento do filho do presidente, e quando cobram a prova, a resposta é: não tenho que provar nada.</w:t>
      </w:r>
    </w:p>
    <w:p>
      <w:pPr>
        <w:spacing w:after="120"/>
        <w:jc w:val="both"/>
      </w:pPr>
      <w:r>
        <w:rPr>
          <w:rFonts w:ascii="Times New Roman" w:cs="Times New Roman" w:eastAsia="Times New Roman" w:hAnsi="Times New Roman"/>
          <w:sz w:val="24"/>
          <w:szCs w:val="24"/>
        </w:rPr>
        <w:t xml:space="preserve">Isso não é fiscalização. É usar acusação de crime como arma política. E a resposta das instituições, até agora, foi a mesma: o Supremo não achou base nem pra investigar, e a Justiça de Alagoas condenou.</w:t>
      </w:r>
    </w:p>
    <w:p>
      <w:pPr>
        <w:spacing w:after="120"/>
        <w:jc w:val="both"/>
      </w:pPr>
      <w:r>
        <w:rPr>
          <w:rFonts w:ascii="Times New Roman" w:cs="Times New Roman" w:eastAsia="Times New Roman" w:hAnsi="Times New Roman"/>
          <w:sz w:val="24"/>
          <w:szCs w:val="24"/>
        </w:rPr>
        <w:t xml:space="preserve">E fica a lição pra todo mundo, não só pra político: quem acusa, prova. Vale no processo penal, vale no processo civil e devia valer no debate público.</w:t>
      </w:r>
    </w:p>
    <w:p>
      <w:pPr>
        <w:spacing w:after="120"/>
        <w:jc w:val="both"/>
      </w:pPr>
      <w:r>
        <w:rPr>
          <w:rFonts w:ascii="Times New Roman" w:cs="Times New Roman" w:eastAsia="Times New Roman" w:hAnsi="Times New Roman"/>
          <w:sz w:val="24"/>
          <w:szCs w:val="24"/>
        </w:rPr>
        <w:t xml:space="preserve">Ela vai recorrer, e se o Tribunal mudar alguma coisa, eu volto aqui e conto pra você. Combinado?</w:t>
      </w:r>
    </w:p>
    <w:p>
      <w:pPr>
        <w:spacing w:after="80" w:before="200"/>
      </w:pPr>
      <w:r>
        <w:rPr>
          <w:rFonts w:ascii="Times New Roman" w:cs="Times New Roman" w:eastAsia="Times New Roman" w:hAnsi="Times New Roman"/>
          <w:b/>
          <w:bCs/>
          <w:sz w:val="24"/>
          <w:szCs w:val="24"/>
        </w:rPr>
        <w:t xml:space="preserve">FECHAMENTO (CTA)</w:t>
      </w:r>
    </w:p>
    <w:p>
      <w:pPr>
        <w:spacing w:after="120"/>
        <w:jc w:val="both"/>
      </w:pPr>
      <w:r>
        <w:rPr>
          <w:rFonts w:ascii="Times New Roman" w:cs="Times New Roman" w:eastAsia="Times New Roman" w:hAnsi="Times New Roman"/>
          <w:sz w:val="24"/>
          <w:szCs w:val="24"/>
        </w:rPr>
        <w:t xml:space="preserve">Se você acha que esse tipo de análise faz falta, com documento na tela e não só manchete, se inscreve no canal e ativa o sininho. Deixa aqui nos comentários: imunidade parlamentar deveria proteger esse tipo de acusação? Eu vou ler e responder. E manda esse vídeo pra quem ainda acha que acusar sem prova é liberdade de expressão. Até o próximo.</w:t>
      </w:r>
    </w:p>
    <w:p>
      <w:pPr>
        <w:spacing w:after="60" w:before="200"/>
      </w:pPr>
      <w:r>
        <w:rPr>
          <w:rFonts w:ascii="Times New Roman" w:cs="Times New Roman" w:eastAsia="Times New Roman" w:hAnsi="Times New Roman"/>
          <w:b/>
          <w:bCs/>
          <w:i/>
          <w:iCs/>
          <w:sz w:val="18"/>
          <w:szCs w:val="18"/>
        </w:rPr>
        <w:t xml:space="preserve">NOTA INTERNA — NÃO LER NA GRAVAÇÃO</w:t>
      </w:r>
    </w:p>
    <w:p>
      <w:pPr>
        <w:spacing w:after="40"/>
      </w:pPr>
      <w:r>
        <w:rPr>
          <w:rFonts w:ascii="Times New Roman" w:cs="Times New Roman" w:eastAsia="Times New Roman" w:hAnsi="Times New Roman"/>
          <w:i/>
          <w:iCs/>
          <w:sz w:val="18"/>
          <w:szCs w:val="18"/>
        </w:rPr>
        <w:t xml:space="preserve">• Título alternativo para o YouTube: “Soraya condenada: imunidade parlamentar não é licença pra acusar sem prova”. Thumb: foto do Gaspar e da Soraya + “NÃO TENHO QUE PROVAR NADA?”.</w:t>
      </w:r>
    </w:p>
    <w:p>
      <w:pPr>
        <w:spacing w:after="40"/>
      </w:pPr>
      <w:r>
        <w:rPr>
          <w:rFonts w:ascii="Times New Roman" w:cs="Times New Roman" w:eastAsia="Times New Roman" w:hAnsi="Times New Roman"/>
          <w:i/>
          <w:iCs/>
          <w:sz w:val="18"/>
          <w:szCs w:val="18"/>
        </w:rPr>
        <w:t xml:space="preserve">• Documentos para mostrar pelo OBS: decisão do Gilmar (PET 15.905, 6/10/2026, 3 páginas, já enviada); sentença (fls. 132-146 dos autos 0716054-58.2026.8.02.0001); contestação fl. 75; réplica fls. 98-99; laudo fls. 61-66; decisão do DNA fls. 39-44. Os recortes e cards da pasta IMAGENS_GASPAR servem aqui.</w:t>
      </w:r>
    </w:p>
    <w:p>
      <w:pPr>
        <w:spacing w:after="40"/>
      </w:pPr>
      <w:r>
        <w:rPr>
          <w:rFonts w:ascii="Times New Roman" w:cs="Times New Roman" w:eastAsia="Times New Roman" w:hAnsi="Times New Roman"/>
          <w:i/>
          <w:iCs/>
          <w:sz w:val="18"/>
          <w:szCs w:val="18"/>
        </w:rPr>
        <w:t xml:space="preserve">• Fatos conferidos nos autos (147 fls., lidos em 11/10): frase “não temos o dever de provar absolutamente nada” transcrita pelo autor (fls. 98-99) e não impugnada; contestação do Senado (fl. 75): “a denúncia pública feita por um parlamentar não necessita vir acompanhada de provas ou de testemunhas”; DNA pedido pelo próprio Gaspar (fls. 22-35), deferido (fls. 39-44), coleta em 23/4, laudo com perfil “único e completo… apto para fins de exames comparativos” (fls. 61-66); sentença de 9/10/2026, juiz Henrique Gomes de Barros Teixeira, R$ 50 mil, SELIC menos IPCA desde o evento, custas e 10% de honorários (fls. 132-146). Trechos citados da sentença: fls. 137 (“salvo-conduto”) e 139 (diferença entre crítica e imputação).</w:t>
      </w:r>
    </w:p>
    <w:p>
      <w:pPr>
        <w:spacing w:after="40"/>
      </w:pPr>
      <w:r>
        <w:rPr>
          <w:rFonts w:ascii="Times New Roman" w:cs="Times New Roman" w:eastAsia="Times New Roman" w:hAnsi="Times New Roman"/>
          <w:i/>
          <w:iCs/>
          <w:sz w:val="18"/>
          <w:szCs w:val="18"/>
        </w:rPr>
        <w:t xml:space="preserve">• Não dizer que o DNA “deu negativo”: não houve comparação. Não identificar a suposta vítima (menor). Não citar a versão do “primo de mesmo nome” nem o vídeo de desmentido da suposta vítima (é alegação do Gaspar no processo e envolve pessoa possivelmente menor).</w:t>
      </w:r>
    </w:p>
    <w:p>
      <w:pPr>
        <w:spacing w:after="40"/>
      </w:pPr>
      <w:r>
        <w:rPr>
          <w:rFonts w:ascii="Times New Roman" w:cs="Times New Roman" w:eastAsia="Times New Roman" w:hAnsi="Times New Roman"/>
          <w:i/>
          <w:iCs/>
          <w:sz w:val="18"/>
          <w:szCs w:val="18"/>
        </w:rPr>
        <w:t xml:space="preserve">• Súmula 301 do STJ (texto): “Em ação investigatória, a recusa do suposto pai a submeter-se ao exame de DNA induz presunção juris tantum de paternidade.”</w:t>
      </w:r>
    </w:p>
    <w:p>
      <w:pPr>
        <w:spacing w:after="40"/>
      </w:pPr>
      <w:r>
        <w:rPr>
          <w:rFonts w:ascii="Times New Roman" w:cs="Times New Roman" w:eastAsia="Times New Roman" w:hAnsi="Times New Roman"/>
          <w:i/>
          <w:iCs/>
          <w:sz w:val="18"/>
          <w:szCs w:val="18"/>
        </w:rPr>
        <w:t xml:space="preserve">• CPMI do INSS: relatório do Gaspar (216 indiciamentos, incluindo Lulinha) foi rejeitado por 19 x 12 em 28/3; o relatório paralelo governista, que pedia o indiciamento de Jair e Flávio, nunca foi votado. Se trouxerem: “nenhum relatório foi aprovado; o dos governistas nem foi a voto”.</w:t>
      </w:r>
    </w:p>
    <w:p>
      <w:pPr>
        <w:spacing w:after="40"/>
      </w:pPr>
      <w:r>
        <w:rPr>
          <w:rFonts w:ascii="Times New Roman" w:cs="Times New Roman" w:eastAsia="Times New Roman" w:hAnsi="Times New Roman"/>
          <w:i/>
          <w:iCs/>
          <w:sz w:val="18"/>
          <w:szCs w:val="18"/>
        </w:rPr>
        <w:t xml:space="preserve">• A frase foi postada no X em 29/3/2026 (Poder360). No mesmo post ela citou a Súmula 301 do STJ e o art. 373, II, do CPC. O art. 373, I, do CPC diz: “O ônus da prova incumbe ao autor, quanto ao fato constitutivo de seu direito”.</w:t>
      </w:r>
    </w:p>
    <w:p>
      <w:pPr>
        <w:spacing w:after="40"/>
      </w:pPr>
      <w:r>
        <w:rPr>
          <w:rFonts w:ascii="Times New Roman" w:cs="Times New Roman" w:eastAsia="Times New Roman" w:hAnsi="Times New Roman"/>
          <w:i/>
          <w:iCs/>
          <w:sz w:val="18"/>
          <w:szCs w:val="18"/>
        </w:rPr>
        <w:t xml:space="preserve">• Nota da Soraya (9/10): soube pela imprensa, não foi intimada, a prova testemunhal foi negada, os mesmos fatos estão numa queixa-crime do Gaspar no STF (que ela aponta como foro competente) e pode acionar o CNJ. A queixa-crime do Gaspar contra Soraya e Lindbergh (Pet 15.833, segundo uma fonte; relator Gilmar) está sem decisão de mérito. Lindbergh também tem queixa contra o Gaspar. Não há recurso noticiado até 11/10.</w:t>
      </w:r>
    </w:p>
    <w:p>
      <w:pPr>
        <w:spacing w:after="40"/>
      </w:pPr>
      <w:r>
        <w:rPr>
          <w:rFonts w:ascii="Times New Roman" w:cs="Times New Roman" w:eastAsia="Times New Roman" w:hAnsi="Times New Roman"/>
          <w:i/>
          <w:iCs/>
          <w:sz w:val="18"/>
          <w:szCs w:val="18"/>
        </w:rPr>
        <w:t xml:space="preserve">• Relatório da CPMI: 216 indiciamentos segundo a Rádio Senado (o Congresso em Foco fala em 218). Instalação em 20/8/2025; presidente Carlos Viana; o relatório foi lido em 27/3 e rejeitado por 19 x 12 na madrugada de 28/3.</w:t>
      </w:r>
    </w:p>
    <w:p>
      <w:pPr>
        <w:spacing w:after="40"/>
      </w:pPr>
      <w:r>
        <w:rPr>
          <w:rFonts w:ascii="Times New Roman" w:cs="Times New Roman" w:eastAsia="Times New Roman" w:hAnsi="Times New Roman"/>
          <w:i/>
          <w:iCs/>
          <w:sz w:val="18"/>
          <w:szCs w:val="18"/>
        </w:rPr>
        <w:t xml:space="preserve">• “594 parlamentares” = 513 deputados + 81 senadores.</w:t>
      </w:r>
    </w:p>
    <w:p>
      <w:pPr>
        <w:spacing w:after="40"/>
      </w:pPr>
      <w:r>
        <w:rPr>
          <w:rFonts w:ascii="Times New Roman" w:cs="Times New Roman" w:eastAsia="Times New Roman" w:hAnsi="Times New Roman"/>
          <w:i/>
          <w:iCs/>
          <w:sz w:val="18"/>
          <w:szCs w:val="18"/>
        </w:rPr>
        <w:t xml:space="preserve">• Arquivamento pelo art. 18 do CPP permite reabrir com prova nova (Súmula 524 do STF). O vídeo já diz isso, o que protege a credibilidade.</w:t>
      </w:r>
    </w:p>
    <w:p>
      <w:pPr>
        <w:spacing w:after="40"/>
      </w:pPr>
      <w:r>
        <w:rPr>
          <w:rFonts w:ascii="Times New Roman" w:cs="Times New Roman" w:eastAsia="Times New Roman" w:hAnsi="Times New Roman"/>
          <w:i/>
          <w:iCs/>
          <w:sz w:val="18"/>
          <w:szCs w:val="18"/>
        </w:rPr>
        <w:t xml:space="preserve">• Publicar no perfil pessoal, sem impulsionar. Não publicar conteúdo político novo em 25/10. Sem IA com imagem ou voz de candidato a partir de 22/10.</w:t>
      </w:r>
    </w:p>
    <w:p>
      <w:pPr>
        <w:pageBreakBefore/>
        <w:spacing w:after="0"/>
        <w:jc w:val="center"/>
      </w:pPr>
      <w:r>
        <w:rPr>
          <w:rFonts w:ascii="Times New Roman" w:cs="Times New Roman" w:eastAsia="Times New Roman" w:hAnsi="Times New Roman"/>
          <w:b/>
          <w:bCs/>
          <w:sz w:val="18"/>
          <w:szCs w:val="18"/>
        </w:rPr>
        <w:t xml:space="preserve">RYAN TEIXEIRA — ROTEIROS PARA YOUTUBE — 11/10/2026</w:t>
      </w:r>
    </w:p>
    <w:p>
      <w:pPr>
        <w:spacing w:after="80"/>
        <w:jc w:val="center"/>
      </w:pPr>
      <w:r>
        <w:rPr>
          <w:rFonts w:ascii="Times New Roman" w:cs="Times New Roman" w:eastAsia="Times New Roman" w:hAnsi="Times New Roman"/>
          <w:b/>
          <w:bCs/>
          <w:sz w:val="28"/>
          <w:szCs w:val="28"/>
        </w:rPr>
        <w:t xml:space="preserve">ROTEIRO 3 — DELTAN TEVE QUASE 3 MILHÕES DE VOTOS E PODE PERDER A VAGA NO SENADO. O QUE DIZ A LEI?</w:t>
      </w:r>
    </w:p>
    <w:p>
      <w:pPr>
        <w:spacing w:after="160"/>
        <w:jc w:val="center"/>
      </w:pPr>
      <w:r>
        <w:rPr>
          <w:rFonts w:ascii="Times New Roman" w:cs="Times New Roman" w:eastAsia="Times New Roman" w:hAnsi="Times New Roman"/>
          <w:i/>
          <w:iCs/>
          <w:sz w:val="20"/>
          <w:szCs w:val="20"/>
        </w:rPr>
        <w:t xml:space="preserve">YouTube · solo · cerca de 12 a 14 minutos · documentos na tela pelo OBS</w:t>
      </w:r>
    </w:p>
    <w:p>
      <w:pPr>
        <w:spacing w:after="80" w:before="200"/>
      </w:pPr>
      <w:r>
        <w:rPr>
          <w:rFonts w:ascii="Times New Roman" w:cs="Times New Roman" w:eastAsia="Times New Roman" w:hAnsi="Times New Roman"/>
          <w:b/>
          <w:bCs/>
          <w:sz w:val="24"/>
          <w:szCs w:val="24"/>
        </w:rPr>
        <w:t xml:space="preserve">ABERTURA (GANCHO)</w:t>
      </w:r>
    </w:p>
    <w:p>
      <w:pPr>
        <w:spacing w:after="120"/>
        <w:jc w:val="both"/>
      </w:pPr>
      <w:r>
        <w:rPr>
          <w:rFonts w:ascii="Times New Roman" w:cs="Times New Roman" w:eastAsia="Times New Roman" w:hAnsi="Times New Roman"/>
          <w:sz w:val="24"/>
          <w:szCs w:val="24"/>
        </w:rPr>
        <w:t xml:space="preserve">Quase três milhões de paranaenses votaram no Deltan Dallagnol pro Senado. Ele ficou em segundo lugar e está entre os eleitos. Mas existe uma chance real de que todos esses votos sejam anulados.</w:t>
      </w:r>
    </w:p>
    <w:p>
      <w:pPr>
        <w:spacing w:after="100"/>
        <w:ind w:left="360"/>
      </w:pPr>
      <w:r>
        <w:rPr>
          <w:rFonts w:ascii="Times New Roman" w:cs="Times New Roman" w:eastAsia="Times New Roman" w:hAnsi="Times New Roman"/>
          <w:i/>
          <w:iCs/>
          <w:color w:val="555555"/>
          <w:sz w:val="20"/>
          <w:szCs w:val="20"/>
        </w:rPr>
        <w:t xml:space="preserve">[NA TELA: resultado do Senado no Paraná: Filipe Barros e Deltan Dallagnol eleitos]</w:t>
      </w:r>
    </w:p>
    <w:p>
      <w:pPr>
        <w:spacing w:after="120"/>
        <w:jc w:val="both"/>
      </w:pPr>
      <w:r>
        <w:rPr>
          <w:rFonts w:ascii="Times New Roman" w:cs="Times New Roman" w:eastAsia="Times New Roman" w:hAnsi="Times New Roman"/>
          <w:sz w:val="24"/>
          <w:szCs w:val="24"/>
        </w:rPr>
        <w:t xml:space="preserve">Na véspera da eleição, um ministro do TSE, sozinho, mandou anular os votos dele. Horas antes de abrir as urnas, o presidente do TSE suspendeu essa decisão. E na quinta-feira, o julgamento que ia decidir tudo foi adiado, sem data.</w:t>
      </w:r>
    </w:p>
    <w:p>
      <w:pPr>
        <w:spacing w:after="120"/>
        <w:jc w:val="both"/>
      </w:pPr>
      <w:r>
        <w:rPr>
          <w:rFonts w:ascii="Times New Roman" w:cs="Times New Roman" w:eastAsia="Times New Roman" w:hAnsi="Times New Roman"/>
          <w:sz w:val="24"/>
          <w:szCs w:val="24"/>
        </w:rPr>
        <w:t xml:space="preserve">Eu sou o Dr. Ryan, sou advogado, e neste vídeo eu vou te explicar, com a lei na tela, o que está em jogo. O que diz a Lei da Ficha Limpa, por que o Deltan foi cassado em 2023, por que agora o Tribunal do Paraná e o próprio Ministério Público Eleitoral disseram que ele pode ser candidato, e o que acontece com o seu voto se o TSE decidir contra. E no final eu vou te dar a minha opinião.</w:t>
      </w:r>
    </w:p>
    <w:p>
      <w:pPr>
        <w:spacing w:after="80" w:before="200"/>
      </w:pPr>
      <w:r>
        <w:rPr>
          <w:rFonts w:ascii="Times New Roman" w:cs="Times New Roman" w:eastAsia="Times New Roman" w:hAnsi="Times New Roman"/>
          <w:b/>
          <w:bCs/>
          <w:sz w:val="24"/>
          <w:szCs w:val="24"/>
        </w:rPr>
        <w:t xml:space="preserve">1. A LEI: O QUE DIZ A FICHA LIMPA</w:t>
      </w:r>
    </w:p>
    <w:p>
      <w:pPr>
        <w:spacing w:after="120"/>
        <w:jc w:val="both"/>
      </w:pPr>
      <w:r>
        <w:rPr>
          <w:rFonts w:ascii="Times New Roman" w:cs="Times New Roman" w:eastAsia="Times New Roman" w:hAnsi="Times New Roman"/>
          <w:sz w:val="24"/>
          <w:szCs w:val="24"/>
        </w:rPr>
        <w:t xml:space="preserve">Pra entender tudo, você precisa conhecer uma única regra. Está na Lei Complementar 64, de 1990, alterada pela Lei da Ficha Limpa. Artigo 1º, inciso primeiro, letra “q”.</w:t>
      </w:r>
    </w:p>
    <w:p>
      <w:pPr>
        <w:spacing w:after="100"/>
        <w:ind w:left="360"/>
      </w:pPr>
      <w:r>
        <w:rPr>
          <w:rFonts w:ascii="Times New Roman" w:cs="Times New Roman" w:eastAsia="Times New Roman" w:hAnsi="Times New Roman"/>
          <w:i/>
          <w:iCs/>
          <w:color w:val="555555"/>
          <w:sz w:val="20"/>
          <w:szCs w:val="20"/>
        </w:rPr>
        <w:t xml:space="preserve">[NA TELA: LC 64/1990, art. 1º, I, “q”, com o trecho “na pendência de processo administrativo disciplinar” em destaque]</w:t>
      </w:r>
    </w:p>
    <w:p>
      <w:pPr>
        <w:spacing w:after="120"/>
        <w:jc w:val="both"/>
      </w:pPr>
      <w:r>
        <w:rPr>
          <w:rFonts w:ascii="Times New Roman" w:cs="Times New Roman" w:eastAsia="Times New Roman" w:hAnsi="Times New Roman"/>
          <w:sz w:val="24"/>
          <w:szCs w:val="24"/>
        </w:rPr>
        <w:t xml:space="preserve">Ela diz que ficam inelegíveis por oito anos os juízes e membros do Ministério Público que forem aposentados compulsoriamente como punição, que perderem o cargo por sentença, ou que pedirem exoneração ou aposentadoria “na pendência de processo administrativo disciplinar”.</w:t>
      </w:r>
    </w:p>
    <w:p>
      <w:pPr>
        <w:spacing w:after="120"/>
        <w:jc w:val="both"/>
      </w:pPr>
      <w:r>
        <w:rPr>
          <w:rFonts w:ascii="Times New Roman" w:cs="Times New Roman" w:eastAsia="Times New Roman" w:hAnsi="Times New Roman"/>
          <w:sz w:val="24"/>
          <w:szCs w:val="24"/>
        </w:rPr>
        <w:t xml:space="preserve">Repara nas palavras: na pendência de processo administrativo disciplinar. O famoso PAD. A ideia da lei é simples: o promotor que está respondendo a um processo disciplinar não pode sair correndo, pedir exoneração antes da punição e virar candidato. Faz sentido.</w:t>
      </w:r>
    </w:p>
    <w:p>
      <w:pPr>
        <w:spacing w:after="120"/>
        <w:jc w:val="both"/>
      </w:pPr>
      <w:r>
        <w:rPr>
          <w:rFonts w:ascii="Times New Roman" w:cs="Times New Roman" w:eastAsia="Times New Roman" w:hAnsi="Times New Roman"/>
          <w:sz w:val="24"/>
          <w:szCs w:val="24"/>
        </w:rPr>
        <w:t xml:space="preserve">Agora guarda essa expressão, porque o caso inteiro gira em torno dela.</w:t>
      </w:r>
    </w:p>
    <w:p>
      <w:pPr>
        <w:spacing w:after="80" w:before="200"/>
      </w:pPr>
      <w:r>
        <w:rPr>
          <w:rFonts w:ascii="Times New Roman" w:cs="Times New Roman" w:eastAsia="Times New Roman" w:hAnsi="Times New Roman"/>
          <w:b/>
          <w:bCs/>
          <w:sz w:val="24"/>
          <w:szCs w:val="24"/>
        </w:rPr>
        <w:t xml:space="preserve">2. O QUE ACONTECEU EM 2023</w:t>
      </w:r>
    </w:p>
    <w:p>
      <w:pPr>
        <w:spacing w:after="120"/>
        <w:jc w:val="both"/>
      </w:pPr>
      <w:r>
        <w:rPr>
          <w:rFonts w:ascii="Times New Roman" w:cs="Times New Roman" w:eastAsia="Times New Roman" w:hAnsi="Times New Roman"/>
          <w:sz w:val="24"/>
          <w:szCs w:val="24"/>
        </w:rPr>
        <w:t xml:space="preserve">O Deltan pediu exoneração do Ministério Público Federal em novembro de 2021. Em 2022, foi eleito deputado federal, o mais votado do Paraná.</w:t>
      </w:r>
    </w:p>
    <w:p>
      <w:pPr>
        <w:spacing w:after="120"/>
        <w:jc w:val="both"/>
      </w:pPr>
      <w:r>
        <w:rPr>
          <w:rFonts w:ascii="Times New Roman" w:cs="Times New Roman" w:eastAsia="Times New Roman" w:hAnsi="Times New Roman"/>
          <w:sz w:val="24"/>
          <w:szCs w:val="24"/>
        </w:rPr>
        <w:t xml:space="preserve">Em maio de 2023, o TSE, por unanimidade, com relatoria do ministro Benedito Gonçalves, indeferiu o registro dele e ele perdeu o mandato.</w:t>
      </w:r>
    </w:p>
    <w:p>
      <w:pPr>
        <w:spacing w:after="120"/>
        <w:jc w:val="both"/>
      </w:pPr>
      <w:r>
        <w:rPr>
          <w:rFonts w:ascii="Times New Roman" w:cs="Times New Roman" w:eastAsia="Times New Roman" w:hAnsi="Times New Roman"/>
          <w:sz w:val="24"/>
          <w:szCs w:val="24"/>
        </w:rPr>
        <w:t xml:space="preserve">E o detalhe que muita gente não sabe: quando ele saiu do Ministério Público, não havia nenhum PAD aberto contra ele. Havia reclamações e procedimentos preliminares no Conselho Nacional do Ministério Público. Procedimento preliminar não é processo disciplinar.</w:t>
      </w:r>
    </w:p>
    <w:p>
      <w:pPr>
        <w:spacing w:after="120"/>
        <w:jc w:val="both"/>
      </w:pPr>
      <w:r>
        <w:rPr>
          <w:rFonts w:ascii="Times New Roman" w:cs="Times New Roman" w:eastAsia="Times New Roman" w:hAnsi="Times New Roman"/>
          <w:sz w:val="24"/>
          <w:szCs w:val="24"/>
        </w:rPr>
        <w:t xml:space="preserve">Então como o TSE chegou à inelegibilidade? O TSE entendeu que ele saiu antes pra evitar que esses procedimentos virassem PAD. Ou seja: considerou que a exoneração foi uma forma de fugir da Ficha Limpa, uma fraude à lei. A lei fala em PAD pendente; o TSE aplicou a regra a um PAD que, segundo ele, poderia vir a existir.</w:t>
      </w:r>
    </w:p>
    <w:p>
      <w:pPr>
        <w:spacing w:after="120"/>
        <w:jc w:val="both"/>
      </w:pPr>
      <w:r>
        <w:rPr>
          <w:rFonts w:ascii="Times New Roman" w:cs="Times New Roman" w:eastAsia="Times New Roman" w:hAnsi="Times New Roman"/>
          <w:sz w:val="24"/>
          <w:szCs w:val="24"/>
        </w:rPr>
        <w:t xml:space="preserve">Essa decisão foi e é muito criticada no meio jurídico. E por um motivo técnico: regra que tira direito político se interpreta de forma restrita. Inelegibilidade não se aplica por analogia, nem por suposição sobre o que poderia acontecer no futuro. Esse é um princípio antigo do Direito Eleitoral.</w:t>
      </w:r>
    </w:p>
    <w:p>
      <w:pPr>
        <w:spacing w:after="120"/>
        <w:jc w:val="both"/>
      </w:pPr>
      <w:r>
        <w:rPr>
          <w:rFonts w:ascii="Times New Roman" w:cs="Times New Roman" w:eastAsia="Times New Roman" w:hAnsi="Times New Roman"/>
          <w:sz w:val="24"/>
          <w:szCs w:val="24"/>
        </w:rPr>
        <w:t xml:space="preserve">O Deltan chegou a recorrer ao Supremo, mas desistiu do recurso em setembro de 2023, dizendo que não confiava no julgamento. E a decisão ficou definitiva.</w:t>
      </w:r>
    </w:p>
    <w:p>
      <w:pPr>
        <w:spacing w:after="80" w:before="200"/>
      </w:pPr>
      <w:r>
        <w:rPr>
          <w:rFonts w:ascii="Times New Roman" w:cs="Times New Roman" w:eastAsia="Times New Roman" w:hAnsi="Times New Roman"/>
          <w:b/>
          <w:bCs/>
          <w:sz w:val="24"/>
          <w:szCs w:val="24"/>
        </w:rPr>
        <w:t xml:space="preserve">3. 2026: POR QUE ELE VOLTOU A SER CANDIDATO</w:t>
      </w:r>
    </w:p>
    <w:p>
      <w:pPr>
        <w:spacing w:after="120"/>
        <w:jc w:val="both"/>
      </w:pPr>
      <w:r>
        <w:rPr>
          <w:rFonts w:ascii="Times New Roman" w:cs="Times New Roman" w:eastAsia="Times New Roman" w:hAnsi="Times New Roman"/>
          <w:sz w:val="24"/>
          <w:szCs w:val="24"/>
        </w:rPr>
        <w:t xml:space="preserve">Agora vem 2026. O Deltan se candidata ao Senado pelo Partido Novo. E a pergunta é: aquela decisão de 2023 vale pra sempre, ou pelo menos por oito anos?</w:t>
      </w:r>
    </w:p>
    <w:p>
      <w:pPr>
        <w:spacing w:after="120"/>
        <w:jc w:val="both"/>
      </w:pPr>
      <w:r>
        <w:rPr>
          <w:rFonts w:ascii="Times New Roman" w:cs="Times New Roman" w:eastAsia="Times New Roman" w:hAnsi="Times New Roman"/>
          <w:sz w:val="24"/>
          <w:szCs w:val="24"/>
        </w:rPr>
        <w:t xml:space="preserve">A defesa dele diz que não, com três argumentos.</w:t>
      </w:r>
    </w:p>
    <w:p>
      <w:pPr>
        <w:spacing w:after="120"/>
        <w:jc w:val="both"/>
      </w:pPr>
      <w:r>
        <w:rPr>
          <w:rFonts w:ascii="Times New Roman" w:cs="Times New Roman" w:eastAsia="Times New Roman" w:hAnsi="Times New Roman"/>
          <w:sz w:val="24"/>
          <w:szCs w:val="24"/>
        </w:rPr>
        <w:t xml:space="preserve">Primeiro: o julgamento de registro de candidatura vale para aquela eleição. Em 2023, o TSE indeferiu o registro de 2022. A cada eleição, a elegibilidade é analisada de novo, com o quadro do momento.</w:t>
      </w:r>
    </w:p>
    <w:p>
      <w:pPr>
        <w:spacing w:after="120"/>
        <w:jc w:val="both"/>
      </w:pPr>
      <w:r>
        <w:rPr>
          <w:rFonts w:ascii="Times New Roman" w:cs="Times New Roman" w:eastAsia="Times New Roman" w:hAnsi="Times New Roman"/>
          <w:sz w:val="24"/>
          <w:szCs w:val="24"/>
        </w:rPr>
        <w:t xml:space="preserve">Segundo: aqueles procedimentos do Conselho do Ministério Público foram todos encerrados ou arquivados, sem nenhuma punição, e nenhum virou PAD. Então nem aquele PAD hipotético existiu.</w:t>
      </w:r>
    </w:p>
    <w:p>
      <w:pPr>
        <w:spacing w:after="120"/>
        <w:jc w:val="both"/>
      </w:pPr>
      <w:r>
        <w:rPr>
          <w:rFonts w:ascii="Times New Roman" w:cs="Times New Roman" w:eastAsia="Times New Roman" w:hAnsi="Times New Roman"/>
          <w:sz w:val="24"/>
          <w:szCs w:val="24"/>
        </w:rPr>
        <w:t xml:space="preserve">Terceiro: a lei fala em PAD pendente. E PAD nunca houve.</w:t>
      </w:r>
    </w:p>
    <w:p>
      <w:pPr>
        <w:spacing w:after="120"/>
        <w:jc w:val="both"/>
      </w:pPr>
      <w:r>
        <w:rPr>
          <w:rFonts w:ascii="Times New Roman" w:cs="Times New Roman" w:eastAsia="Times New Roman" w:hAnsi="Times New Roman"/>
          <w:sz w:val="24"/>
          <w:szCs w:val="24"/>
        </w:rPr>
        <w:t xml:space="preserve">E aqui vem o que eu acho mais importante, porque não é opinião do Deltan nem minha. Em setembro, o Tribunal Regional Eleitoral do Paraná deferiu o registro dele, por 4 a 3. A maioria entendeu que a decisão de 2023 não barra, sozinha, a candidatura de 2026, e que o arquivamento dos procedimentos é um fato novo.</w:t>
      </w:r>
    </w:p>
    <w:p>
      <w:pPr>
        <w:spacing w:after="100"/>
        <w:ind w:left="360"/>
      </w:pPr>
      <w:r>
        <w:rPr>
          <w:rFonts w:ascii="Times New Roman" w:cs="Times New Roman" w:eastAsia="Times New Roman" w:hAnsi="Times New Roman"/>
          <w:i/>
          <w:iCs/>
          <w:color w:val="555555"/>
          <w:sz w:val="20"/>
          <w:szCs w:val="20"/>
        </w:rPr>
        <w:t xml:space="preserve">[NA TELA: notícia da decisão do TRE-PR (4 a 3, 8/9/2026)]</w:t>
      </w:r>
    </w:p>
    <w:p>
      <w:pPr>
        <w:spacing w:after="120"/>
        <w:jc w:val="both"/>
      </w:pPr>
      <w:r>
        <w:rPr>
          <w:rFonts w:ascii="Times New Roman" w:cs="Times New Roman" w:eastAsia="Times New Roman" w:hAnsi="Times New Roman"/>
          <w:sz w:val="24"/>
          <w:szCs w:val="24"/>
        </w:rPr>
        <w:t xml:space="preserve">E mais: a Procuradoria-Geral Eleitoral, que é o Ministério Público Eleitoral no TSE, deu parecer a favor da candidatura. Disse que a decisão de 2023 vale para aquela eleição e não cria inelegibilidade automática, e que procedimento investigativo não é PAD.</w:t>
      </w:r>
    </w:p>
    <w:p>
      <w:pPr>
        <w:spacing w:after="100"/>
        <w:ind w:left="360"/>
      </w:pPr>
      <w:r>
        <w:rPr>
          <w:rFonts w:ascii="Times New Roman" w:cs="Times New Roman" w:eastAsia="Times New Roman" w:hAnsi="Times New Roman"/>
          <w:i/>
          <w:iCs/>
          <w:color w:val="555555"/>
          <w:sz w:val="20"/>
          <w:szCs w:val="20"/>
        </w:rPr>
        <w:t xml:space="preserve">[NA TELA: notícia do parecer da Procuradoria-Geral Eleitoral]</w:t>
      </w:r>
    </w:p>
    <w:p>
      <w:pPr>
        <w:spacing w:after="120"/>
        <w:jc w:val="both"/>
      </w:pPr>
      <w:r>
        <w:rPr>
          <w:rFonts w:ascii="Times New Roman" w:cs="Times New Roman" w:eastAsia="Times New Roman" w:hAnsi="Times New Roman"/>
          <w:sz w:val="24"/>
          <w:szCs w:val="24"/>
        </w:rPr>
        <w:t xml:space="preserve">Pensa nisso: o fiscal da lei, o órgão que existe justamente pra defender a lisura das eleições, disse que ele pode concorrer.</w:t>
      </w:r>
    </w:p>
    <w:p>
      <w:pPr>
        <w:spacing w:after="80" w:before="200"/>
      </w:pPr>
      <w:r>
        <w:rPr>
          <w:rFonts w:ascii="Times New Roman" w:cs="Times New Roman" w:eastAsia="Times New Roman" w:hAnsi="Times New Roman"/>
          <w:b/>
          <w:bCs/>
          <w:sz w:val="24"/>
          <w:szCs w:val="24"/>
        </w:rPr>
        <w:t xml:space="preserve">4. A REVIRAVOLTA DA VÉSPERA</w:t>
      </w:r>
    </w:p>
    <w:p>
      <w:pPr>
        <w:spacing w:after="120"/>
        <w:jc w:val="both"/>
      </w:pPr>
      <w:r>
        <w:rPr>
          <w:rFonts w:ascii="Times New Roman" w:cs="Times New Roman" w:eastAsia="Times New Roman" w:hAnsi="Times New Roman"/>
          <w:sz w:val="24"/>
          <w:szCs w:val="24"/>
        </w:rPr>
        <w:t xml:space="preserve">Aí o caso chega ao TSE, e o relator é o ministro Floriano de Azevedo Marques.</w:t>
      </w:r>
    </w:p>
    <w:p>
      <w:pPr>
        <w:spacing w:after="120"/>
        <w:jc w:val="both"/>
      </w:pPr>
      <w:r>
        <w:rPr>
          <w:rFonts w:ascii="Times New Roman" w:cs="Times New Roman" w:eastAsia="Times New Roman" w:hAnsi="Times New Roman"/>
          <w:sz w:val="24"/>
          <w:szCs w:val="24"/>
        </w:rPr>
        <w:t xml:space="preserve">Em 19 de setembro, ele deu uma liminar suspendendo a campanha do Deltan: sem horário eleitoral, sem debate, sem dinheiro do fundo. O registro continuava valendo, mas ele não podia fazer campanha. E o plenário confirmou isso por 5 a 2, vencidos os ministros André Mendonça e Nunes Marques.</w:t>
      </w:r>
    </w:p>
    <w:p>
      <w:pPr>
        <w:spacing w:after="120"/>
        <w:jc w:val="both"/>
      </w:pPr>
      <w:r>
        <w:rPr>
          <w:rFonts w:ascii="Times New Roman" w:cs="Times New Roman" w:eastAsia="Times New Roman" w:hAnsi="Times New Roman"/>
          <w:sz w:val="24"/>
          <w:szCs w:val="24"/>
        </w:rPr>
        <w:t xml:space="preserve">Pensa no que é isso numa eleição: um candidato com registro deferido pelo tribunal do seu estado, impedido de fazer campanha.</w:t>
      </w:r>
    </w:p>
    <w:p>
      <w:pPr>
        <w:spacing w:after="120"/>
        <w:jc w:val="both"/>
      </w:pPr>
      <w:r>
        <w:rPr>
          <w:rFonts w:ascii="Times New Roman" w:cs="Times New Roman" w:eastAsia="Times New Roman" w:hAnsi="Times New Roman"/>
          <w:sz w:val="24"/>
          <w:szCs w:val="24"/>
        </w:rPr>
        <w:t xml:space="preserve">E no sábado, 3 de outubro, véspera da eleição, às sete e meia da noite, o ministro Floriano indeferiu o registro sozinho, numa decisão individual, e mandou considerar nulos os votos dele, com efeito imediato.</w:t>
      </w:r>
    </w:p>
    <w:p>
      <w:pPr>
        <w:spacing w:after="100"/>
        <w:ind w:left="360"/>
      </w:pPr>
      <w:r>
        <w:rPr>
          <w:rFonts w:ascii="Times New Roman" w:cs="Times New Roman" w:eastAsia="Times New Roman" w:hAnsi="Times New Roman"/>
          <w:i/>
          <w:iCs/>
          <w:color w:val="555555"/>
          <w:sz w:val="20"/>
          <w:szCs w:val="20"/>
        </w:rPr>
        <w:t xml:space="preserve">[NA TELA: notícia da decisão monocrática de 3/10/2026]</w:t>
      </w:r>
    </w:p>
    <w:p>
      <w:pPr>
        <w:spacing w:after="120"/>
        <w:jc w:val="both"/>
      </w:pPr>
      <w:r>
        <w:rPr>
          <w:rFonts w:ascii="Times New Roman" w:cs="Times New Roman" w:eastAsia="Times New Roman" w:hAnsi="Times New Roman"/>
          <w:sz w:val="24"/>
          <w:szCs w:val="24"/>
        </w:rPr>
        <w:t xml:space="preserve">No domingo, horas antes de abrir as urnas, o presidente do TSE, ministro Nunes Marques, suspendeu essa decisão. E o fundamento é importante: uma decisão individual não pode ter efeito definitivo sobre uma candidatura e sobre os votos antes do julgamento do colegiado. E mudar isso a menos de vinte e quatro horas da eleição poderia causar grave lesão à ordem pública eleitoral.</w:t>
      </w:r>
    </w:p>
    <w:p>
      <w:pPr>
        <w:spacing w:after="100"/>
        <w:ind w:left="360"/>
      </w:pPr>
      <w:r>
        <w:rPr>
          <w:rFonts w:ascii="Times New Roman" w:cs="Times New Roman" w:eastAsia="Times New Roman" w:hAnsi="Times New Roman"/>
          <w:i/>
          <w:iCs/>
          <w:color w:val="555555"/>
          <w:sz w:val="20"/>
          <w:szCs w:val="20"/>
        </w:rPr>
        <w:t xml:space="preserve">[NA TELA: notícia da decisão de Nunes Marques (4/10/2026)]</w:t>
      </w:r>
    </w:p>
    <w:p>
      <w:pPr>
        <w:spacing w:after="120"/>
        <w:jc w:val="both"/>
      </w:pPr>
      <w:r>
        <w:rPr>
          <w:rFonts w:ascii="Times New Roman" w:cs="Times New Roman" w:eastAsia="Times New Roman" w:hAnsi="Times New Roman"/>
          <w:sz w:val="24"/>
          <w:szCs w:val="24"/>
        </w:rPr>
        <w:t xml:space="preserve">Detalhe: a própria resolução do TSE sobre registro de candidatura diz que a situação de candidato sub judice só termina com decisão do plenário. Não de um ministro sozinho.</w:t>
      </w:r>
    </w:p>
    <w:p>
      <w:pPr>
        <w:spacing w:after="120"/>
        <w:jc w:val="both"/>
      </w:pPr>
      <w:r>
        <w:rPr>
          <w:rFonts w:ascii="Times New Roman" w:cs="Times New Roman" w:eastAsia="Times New Roman" w:hAnsi="Times New Roman"/>
          <w:sz w:val="24"/>
          <w:szCs w:val="24"/>
        </w:rPr>
        <w:t xml:space="preserve">Resultado: ele concorreu com o registro deferido com recurso, os votos foram contados, e ele ficou em segundo lugar, com cerca de 2,9 milhões de votos.</w:t>
      </w:r>
    </w:p>
    <w:p>
      <w:pPr>
        <w:spacing w:after="80" w:before="200"/>
      </w:pPr>
      <w:r>
        <w:rPr>
          <w:rFonts w:ascii="Times New Roman" w:cs="Times New Roman" w:eastAsia="Times New Roman" w:hAnsi="Times New Roman"/>
          <w:b/>
          <w:bCs/>
          <w:sz w:val="24"/>
          <w:szCs w:val="24"/>
        </w:rPr>
        <w:t xml:space="preserve">5. E AGORA? O QUE ACONTECE COM OS VOTOS</w:t>
      </w:r>
    </w:p>
    <w:p>
      <w:pPr>
        <w:spacing w:after="120"/>
        <w:jc w:val="both"/>
      </w:pPr>
      <w:r>
        <w:rPr>
          <w:rFonts w:ascii="Times New Roman" w:cs="Times New Roman" w:eastAsia="Times New Roman" w:hAnsi="Times New Roman"/>
          <w:sz w:val="24"/>
          <w:szCs w:val="24"/>
        </w:rPr>
        <w:t xml:space="preserve">Agora o TSE vai julgar o recurso. Estava marcado pra quinta, dia 8, e foi adiado a pedido da defesa, ainda sem nova data.</w:t>
      </w:r>
    </w:p>
    <w:p>
      <w:pPr>
        <w:spacing w:after="120"/>
        <w:jc w:val="both"/>
      </w:pPr>
      <w:r>
        <w:rPr>
          <w:rFonts w:ascii="Times New Roman" w:cs="Times New Roman" w:eastAsia="Times New Roman" w:hAnsi="Times New Roman"/>
          <w:sz w:val="24"/>
          <w:szCs w:val="24"/>
        </w:rPr>
        <w:t xml:space="preserve">Se o TSE mantiver o registro, acabou: ele é senador eleito e toma posse em fevereiro.</w:t>
      </w:r>
    </w:p>
    <w:p>
      <w:pPr>
        <w:spacing w:after="120"/>
        <w:jc w:val="both"/>
      </w:pPr>
      <w:r>
        <w:rPr>
          <w:rFonts w:ascii="Times New Roman" w:cs="Times New Roman" w:eastAsia="Times New Roman" w:hAnsi="Times New Roman"/>
          <w:sz w:val="24"/>
          <w:szCs w:val="24"/>
        </w:rPr>
        <w:t xml:space="preserve">Se o TSE negar o registro, entra a regra que eu já expliquei aqui no canal no caso do Garotinho. O artigo 16-A da Lei das Eleições diz que o candidato sub judice pode fazer campanha e ter o nome na urna, mas o voto só vale pra ele se o registro for deferido no final. E o Código Eleitoral diz que voto em candidato com registro indeferido é nulo.</w:t>
      </w:r>
    </w:p>
    <w:p>
      <w:pPr>
        <w:spacing w:after="100"/>
        <w:ind w:left="360"/>
      </w:pPr>
      <w:r>
        <w:rPr>
          <w:rFonts w:ascii="Times New Roman" w:cs="Times New Roman" w:eastAsia="Times New Roman" w:hAnsi="Times New Roman"/>
          <w:i/>
          <w:iCs/>
          <w:color w:val="555555"/>
          <w:sz w:val="20"/>
          <w:szCs w:val="20"/>
        </w:rPr>
        <w:t xml:space="preserve">[NA TELA: Lei 9.504/1997, art. 16-A]</w:t>
      </w:r>
    </w:p>
    <w:p>
      <w:pPr>
        <w:spacing w:after="120"/>
        <w:jc w:val="both"/>
      </w:pPr>
      <w:r>
        <w:rPr>
          <w:rFonts w:ascii="Times New Roman" w:cs="Times New Roman" w:eastAsia="Times New Roman" w:hAnsi="Times New Roman"/>
          <w:sz w:val="24"/>
          <w:szCs w:val="24"/>
        </w:rPr>
        <w:t xml:space="preserve">Só que aqui tem uma diferença. No Rio, a anulação dos votos levou o segundo colocado a ganhar no primeiro turno. No caso do Senado, com o Deltan já entre os eleitos, a discussão é se haveria uma nova eleição para essa vaga, pela regra do artigo 224 do Código Eleitoral. Isso o TSE ainda não decidiu, e eu não vou te vender certeza que ninguém tem.</w:t>
      </w:r>
    </w:p>
    <w:p>
      <w:pPr>
        <w:spacing w:after="120"/>
        <w:jc w:val="both"/>
      </w:pPr>
      <w:r>
        <w:rPr>
          <w:rFonts w:ascii="Times New Roman" w:cs="Times New Roman" w:eastAsia="Times New Roman" w:hAnsi="Times New Roman"/>
          <w:sz w:val="24"/>
          <w:szCs w:val="24"/>
        </w:rPr>
        <w:t xml:space="preserve">E repara no tamanho: quase três milhões de votos, de gente que sabia quem era o Deltan, sabia da decisão de 2023 e votou nele mesmo assim.</w:t>
      </w:r>
    </w:p>
    <w:p>
      <w:pPr>
        <w:spacing w:after="80" w:before="200"/>
      </w:pPr>
      <w:r>
        <w:rPr>
          <w:rFonts w:ascii="Times New Roman" w:cs="Times New Roman" w:eastAsia="Times New Roman" w:hAnsi="Times New Roman"/>
          <w:b/>
          <w:bCs/>
          <w:sz w:val="24"/>
          <w:szCs w:val="24"/>
        </w:rPr>
        <w:t xml:space="preserve">6. MINHA OPINIÃO</w:t>
      </w:r>
    </w:p>
    <w:p>
      <w:pPr>
        <w:spacing w:after="120"/>
        <w:jc w:val="both"/>
      </w:pPr>
      <w:r>
        <w:rPr>
          <w:rFonts w:ascii="Times New Roman" w:cs="Times New Roman" w:eastAsia="Times New Roman" w:hAnsi="Times New Roman"/>
          <w:sz w:val="24"/>
          <w:szCs w:val="24"/>
        </w:rPr>
        <w:t xml:space="preserve">Então, qual é a minha opinião, como advogado?</w:t>
      </w:r>
    </w:p>
    <w:p>
      <w:pPr>
        <w:spacing w:after="120"/>
        <w:jc w:val="both"/>
      </w:pPr>
      <w:r>
        <w:rPr>
          <w:rFonts w:ascii="Times New Roman" w:cs="Times New Roman" w:eastAsia="Times New Roman" w:hAnsi="Times New Roman"/>
          <w:sz w:val="24"/>
          <w:szCs w:val="24"/>
        </w:rPr>
        <w:t xml:space="preserve">Na minha visão, o Deltan deveria ter o registro mantido. E não é só porque eu concordo com as posições dele. É pela lei.</w:t>
      </w:r>
    </w:p>
    <w:p>
      <w:pPr>
        <w:spacing w:after="120"/>
        <w:jc w:val="both"/>
      </w:pPr>
      <w:r>
        <w:rPr>
          <w:rFonts w:ascii="Times New Roman" w:cs="Times New Roman" w:eastAsia="Times New Roman" w:hAnsi="Times New Roman"/>
          <w:sz w:val="24"/>
          <w:szCs w:val="24"/>
        </w:rPr>
        <w:t xml:space="preserve">A Lei da Ficha Limpa fala em PAD pendente. PAD nunca houve, e os procedimentos que existiam foram arquivados sem punição. O Tribunal do Paraná disse que ele pode concorrer. O Ministério Público Eleitoral disse que ele pode concorrer. Inelegibilidade é restrição a direito político, e restrição a direito se interpreta de forma restrita, não ampliada.</w:t>
      </w:r>
    </w:p>
    <w:p>
      <w:pPr>
        <w:spacing w:after="120"/>
        <w:jc w:val="both"/>
      </w:pPr>
      <w:r>
        <w:rPr>
          <w:rFonts w:ascii="Times New Roman" w:cs="Times New Roman" w:eastAsia="Times New Roman" w:hAnsi="Times New Roman"/>
          <w:sz w:val="24"/>
          <w:szCs w:val="24"/>
        </w:rPr>
        <w:t xml:space="preserve">E tem um ponto que vai além do Deltan. Quando um tribunal suspende a campanha de quem tem registro deferido, e um ministro sozinho manda anular votos na véspera da eleição, isso preocupa qualquer pessoa que acredita que quem escolhe o representante é o eleitor. Felizmente, o próprio presidente do TSE corrigiu isso a tempo.</w:t>
      </w:r>
    </w:p>
    <w:p>
      <w:pPr>
        <w:spacing w:after="120"/>
        <w:jc w:val="both"/>
      </w:pPr>
      <w:r>
        <w:rPr>
          <w:rFonts w:ascii="Times New Roman" w:cs="Times New Roman" w:eastAsia="Times New Roman" w:hAnsi="Times New Roman"/>
          <w:sz w:val="24"/>
          <w:szCs w:val="24"/>
        </w:rPr>
        <w:t xml:space="preserve">Agora, a palavra final é do plenário do TSE, e depois talvez do Supremo. O Deltan tem todo o direito de se defender, e eu volto aqui assim que sair o julgamento.</w:t>
      </w:r>
    </w:p>
    <w:p>
      <w:pPr>
        <w:spacing w:after="80" w:before="200"/>
      </w:pPr>
      <w:r>
        <w:rPr>
          <w:rFonts w:ascii="Times New Roman" w:cs="Times New Roman" w:eastAsia="Times New Roman" w:hAnsi="Times New Roman"/>
          <w:b/>
          <w:bCs/>
          <w:sz w:val="24"/>
          <w:szCs w:val="24"/>
        </w:rPr>
        <w:t xml:space="preserve">FECHAMENTO (CTA)</w:t>
      </w:r>
    </w:p>
    <w:p>
      <w:pPr>
        <w:spacing w:after="120"/>
        <w:jc w:val="both"/>
      </w:pPr>
      <w:r>
        <w:rPr>
          <w:rFonts w:ascii="Times New Roman" w:cs="Times New Roman" w:eastAsia="Times New Roman" w:hAnsi="Times New Roman"/>
          <w:sz w:val="24"/>
          <w:szCs w:val="24"/>
        </w:rPr>
        <w:t xml:space="preserve">E você? Acha que o voto de quase três milhões de pessoas deve ser respeitado, ou a decisão de 2023 tem que valer? Comenta aqui, eu leio tudo. Se você gosta de análise com a lei na tela, se inscreve no canal e manda esse vídeo pra quem é do Paraná. Até o próximo.</w:t>
      </w:r>
    </w:p>
    <w:p>
      <w:pPr>
        <w:spacing w:after="60" w:before="200"/>
      </w:pPr>
      <w:r>
        <w:rPr>
          <w:rFonts w:ascii="Times New Roman" w:cs="Times New Roman" w:eastAsia="Times New Roman" w:hAnsi="Times New Roman"/>
          <w:b/>
          <w:bCs/>
          <w:i/>
          <w:iCs/>
          <w:sz w:val="18"/>
          <w:szCs w:val="18"/>
        </w:rPr>
        <w:t xml:space="preserve">NOTA INTERNA — NÃO LER NA GRAVAÇÃO</w:t>
      </w:r>
    </w:p>
    <w:p>
      <w:pPr>
        <w:spacing w:after="40"/>
      </w:pPr>
      <w:r>
        <w:rPr>
          <w:rFonts w:ascii="Times New Roman" w:cs="Times New Roman" w:eastAsia="Times New Roman" w:hAnsi="Times New Roman"/>
          <w:i/>
          <w:iCs/>
          <w:sz w:val="18"/>
          <w:szCs w:val="18"/>
        </w:rPr>
        <w:t xml:space="preserve">• Título alternativo: “Querem anular quase 3 milhões de votos do Deltan? Entenda o caso”. Thumb: Deltan + “VOTO ANULADO?”.</w:t>
      </w:r>
    </w:p>
    <w:p>
      <w:pPr>
        <w:spacing w:after="40"/>
      </w:pPr>
      <w:r>
        <w:rPr>
          <w:rFonts w:ascii="Times New Roman" w:cs="Times New Roman" w:eastAsia="Times New Roman" w:hAnsi="Times New Roman"/>
          <w:i/>
          <w:iCs/>
          <w:sz w:val="18"/>
          <w:szCs w:val="18"/>
        </w:rPr>
        <w:t xml:space="preserve">• LC 64/1990, art. 1º, I, “q” (incluída pela LC 135/2010): “os magistrados e os membros do Ministério Público que forem aposentados compulsoriamente por decisão sancionatória, que tenham perdido o cargo por sentença ou que tenham pedido exoneração ou aposentadoria voluntária na pendência de processo administrativo disciplinar, pelo prazo de 8 (oito) anos”. Conferir a redação no Planalto antes de mostrar na tela (o site está bloqueado aqui).</w:t>
      </w:r>
    </w:p>
    <w:p>
      <w:pPr>
        <w:spacing w:after="40"/>
      </w:pPr>
      <w:r>
        <w:rPr>
          <w:rFonts w:ascii="Times New Roman" w:cs="Times New Roman" w:eastAsia="Times New Roman" w:hAnsi="Times New Roman"/>
          <w:i/>
          <w:iCs/>
          <w:sz w:val="18"/>
          <w:szCs w:val="18"/>
        </w:rPr>
        <w:t xml:space="preserve">• 2023: TSE, 16/5/2023, unânime, relator Benedito Gonçalves; tese de fraude à lei (exoneração antecipada para evitar que 15 procedimentos pendentes no CNMP virassem PAD). Exoneração publicada no DOU em 5/11/2021 (pedido em 3/11/2021). Deltan desistiu do recurso ao STF em 18/9/2023 (“não há justiça no Supremo”); trânsito em julgado em 25/9/2023. O STF não julgou o mérito.</w:t>
      </w:r>
    </w:p>
    <w:p>
      <w:pPr>
        <w:spacing w:after="40"/>
      </w:pPr>
      <w:r>
        <w:rPr>
          <w:rFonts w:ascii="Times New Roman" w:cs="Times New Roman" w:eastAsia="Times New Roman" w:hAnsi="Times New Roman"/>
          <w:i/>
          <w:iCs/>
          <w:sz w:val="18"/>
          <w:szCs w:val="18"/>
        </w:rPr>
        <w:t xml:space="preserve">• 2026: Requerimento de declaração de elegibilidade no TRE-PR (julho). Impugnação da coligação PDT, Federação PT-PCdoB-PV, PSOL-Rede e PRD-Solidariedade. TRE-PR deferiu em 8/9/2026 por 4 a 3 (relatora Vanessa Jamus Marchi; desempate do presidente Luciano Falavinha). A PGE deu parecer pela manutenção do registro. Liminar de Floriano em 19/9 suspendeu os atos de campanha (fundo, horário eleitoral, debates), referendada em 21/9 por 5 a 2 (vencidos Mendonça e Nunes Marques). Em 3/10, às 19h32, Floriano indeferiu o registro de forma monocrática e mandou anular os votos. Em 4/10, Nunes Marques (presidente do TSE) suspendeu a decisão em Suspensão de Segurança (art. 51 da Res.-TSE 23.609/2019: o fim do sub judice exige decisão do plenário). Resultado: Filipe Barros (PL) e Deltan (Novo) eleitos; Deltan com 2.904.594 votos (25,14%, Agência Brasil). Em 8/10 o julgamento foi adiado a pedido da defesa, sem nova data. Posse em 1/2/2027.</w:t>
      </w:r>
    </w:p>
    <w:p>
      <w:pPr>
        <w:spacing w:after="40"/>
      </w:pPr>
      <w:r>
        <w:rPr>
          <w:rFonts w:ascii="Times New Roman" w:cs="Times New Roman" w:eastAsia="Times New Roman" w:hAnsi="Times New Roman"/>
          <w:i/>
          <w:iCs/>
          <w:sz w:val="18"/>
          <w:szCs w:val="18"/>
        </w:rPr>
        <w:t xml:space="preserve">• Se o registro for negado depois da eleição: votos nulos (Lei 9.504, art. 16-A; CE, art. 175, § 3º). Sobre nova eleição (CE, art. 224, § 3º), as fontes divergem e o TSE não decidiu: manter no condicional, como está no texto.</w:t>
      </w:r>
    </w:p>
    <w:p>
      <w:pPr>
        <w:spacing w:after="40"/>
      </w:pPr>
      <w:r>
        <w:rPr>
          <w:rFonts w:ascii="Times New Roman" w:cs="Times New Roman" w:eastAsia="Times New Roman" w:hAnsi="Times New Roman"/>
          <w:i/>
          <w:iCs/>
          <w:sz w:val="18"/>
          <w:szCs w:val="18"/>
        </w:rPr>
        <w:t xml:space="preserve">• Fundamento de Floriano (para responder comentários, não ler): exoneração “fraudulenta” que “atingiu seu objetivo”; sem fatos novos capazes de mudar a conclusão de 2023. Resposta: a lei exige PAD pendente; o TRE-PR e a PGE entenderam que não há inelegibilidade automática; e decisão de registro vale para a eleição em que foi proferida.</w:t>
      </w:r>
    </w:p>
    <w:p>
      <w:pPr>
        <w:spacing w:after="40"/>
      </w:pPr>
      <w:r>
        <w:rPr>
          <w:rFonts w:ascii="Times New Roman" w:cs="Times New Roman" w:eastAsia="Times New Roman" w:hAnsi="Times New Roman"/>
          <w:i/>
          <w:iCs/>
          <w:sz w:val="18"/>
          <w:szCs w:val="18"/>
        </w:rPr>
        <w:t xml:space="preserve">• Não usar no vídeo: a fala de Deltan de que Floriano seria amigo de Moraes (é alegação dele, sem resposta oficial); a alegação de um site do PT de que “o STF confirmou a inelegibilidade em 2026” (não há decisão assim). Frente no STF (Rcl 94.666, Gilmar, pedido de Zeca Dirceu para anular votos; reclamação com Dino) está sem desfecho conhecido: não citar sem conferir.</w:t>
      </w:r>
    </w:p>
    <w:p>
      <w:pPr>
        <w:spacing w:after="40"/>
      </w:pPr>
      <w:r>
        <w:rPr>
          <w:rFonts w:ascii="Times New Roman" w:cs="Times New Roman" w:eastAsia="Times New Roman" w:hAnsi="Times New Roman"/>
          <w:i/>
          <w:iCs/>
          <w:sz w:val="18"/>
          <w:szCs w:val="18"/>
        </w:rPr>
        <w:t xml:space="preserve">• Checagem para comentários: é falso que o julgamento de 2023 durou menos de dois minutos (Aos Fatos).</w:t>
      </w:r>
    </w:p>
    <w:p>
      <w:pPr>
        <w:spacing w:after="40"/>
      </w:pPr>
      <w:r>
        <w:rPr>
          <w:rFonts w:ascii="Times New Roman" w:cs="Times New Roman" w:eastAsia="Times New Roman" w:hAnsi="Times New Roman"/>
          <w:i/>
          <w:iCs/>
          <w:sz w:val="18"/>
          <w:szCs w:val="18"/>
        </w:rPr>
        <w:t xml:space="preserve">• Antes de gravar: conferir se o TSE marcou nova data ou já julgou. Se já julgou, o roteiro precisa ser adaptado.</w:t>
      </w:r>
    </w:p>
    <w:p>
      <w:pPr>
        <w:spacing w:after="40"/>
      </w:pPr>
      <w:r>
        <w:rPr>
          <w:rFonts w:ascii="Times New Roman" w:cs="Times New Roman" w:eastAsia="Times New Roman" w:hAnsi="Times New Roman"/>
          <w:i/>
          <w:iCs/>
          <w:sz w:val="18"/>
          <w:szCs w:val="18"/>
        </w:rPr>
        <w:t xml:space="preserve">• Publicar no perfil pessoal, sem impulsionar. Não publicar conteúdo político novo em 25/10. Sem IA com imagem ou voz de candidato a partir de 22/10.</w:t>
      </w:r>
    </w:p>
    <w:sectPr>
      <w:footerReference w:type="default" r:id="rId7"/>
      <w:pgSz w:w="12240" w:h="15840" w:orient="portrait"/>
      <w:pgMar w:top="900" w:right="1100" w:bottom="9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t xml:space="preserve">Página </w:t>
    </w: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2026-10-11T02:13:32.141Z</dcterms:created>
  <dcterms:modified xsi:type="dcterms:W3CDTF">2026-10-11T02:13:32.141Z</dcterms:modified>
</cp:coreProperties>
</file>

<file path=docProps/custom.xml><?xml version="1.0" encoding="utf-8"?>
<Properties xmlns="http://schemas.openxmlformats.org/officeDocument/2006/custom-properties" xmlns:vt="http://schemas.openxmlformats.org/officeDocument/2006/docPropsVTypes"/>
</file>