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34C981" w14:textId="77777777" w:rsidR="0014171F" w:rsidRDefault="00000000">
      <w:pPr>
        <w:spacing w:after="40"/>
      </w:pPr>
      <w:r>
        <w:rPr>
          <w:b/>
          <w:bCs/>
          <w:color w:val="B8752F"/>
          <w:sz w:val="20"/>
          <w:szCs w:val="20"/>
        </w:rPr>
        <w:t>EXECUTIVE BRIEF</w:t>
      </w:r>
    </w:p>
    <w:p w14:paraId="2E23270A" w14:textId="77777777" w:rsidR="0014171F" w:rsidRDefault="00000000">
      <w:pPr>
        <w:spacing w:after="120"/>
      </w:pPr>
      <w:r>
        <w:rPr>
          <w:rFonts w:ascii="Cambria" w:eastAsia="Cambria" w:hAnsi="Cambria" w:cs="Cambria"/>
          <w:b/>
          <w:bCs/>
          <w:color w:val="1F2A37"/>
          <w:sz w:val="56"/>
          <w:szCs w:val="56"/>
        </w:rPr>
        <w:t>Hollywood Evolves</w:t>
      </w:r>
    </w:p>
    <w:p w14:paraId="159D87EC" w14:textId="77777777" w:rsidR="0014171F" w:rsidRDefault="00000000">
      <w:pPr>
        <w:spacing w:after="200"/>
      </w:pPr>
      <w:r>
        <w:rPr>
          <w:i/>
          <w:iCs/>
          <w:color w:val="3A342B"/>
          <w:sz w:val="22"/>
          <w:szCs w:val="22"/>
        </w:rPr>
        <w:t>A technology-evolution podcast series exploring how Hollywood's tools, talent, and business models have repeatedly reinvented themselves — and forecasting what happens next.</w:t>
      </w:r>
    </w:p>
    <w:p w14:paraId="577421AE" w14:textId="77777777" w:rsidR="0014171F" w:rsidRDefault="00000000">
      <w:pPr>
        <w:pBdr>
          <w:bottom w:val="single" w:sz="6" w:space="8" w:color="C9C2B4"/>
        </w:pBdr>
        <w:spacing w:after="260"/>
      </w:pPr>
      <w:r>
        <w:rPr>
          <w:color w:val="776C5D"/>
          <w:sz w:val="18"/>
          <w:szCs w:val="18"/>
        </w:rPr>
        <w:t>Produced by TMT Insights, in partnership with the Digital Entertainment Group (</w:t>
      </w:r>
      <w:proofErr w:type="gramStart"/>
      <w:r>
        <w:rPr>
          <w:color w:val="776C5D"/>
          <w:sz w:val="18"/>
          <w:szCs w:val="18"/>
        </w:rPr>
        <w:t xml:space="preserve">DEG)   </w:t>
      </w:r>
      <w:proofErr w:type="gramEnd"/>
      <w:r>
        <w:rPr>
          <w:color w:val="776C5D"/>
          <w:sz w:val="18"/>
          <w:szCs w:val="18"/>
        </w:rPr>
        <w:t>·   Timed to DEG's 30th Anniversary   ·   August 2026</w:t>
      </w:r>
    </w:p>
    <w:p w14:paraId="1D3CEBDA" w14:textId="77777777" w:rsidR="0014171F" w:rsidRDefault="00000000">
      <w:pPr>
        <w:pStyle w:val="Heading1"/>
        <w:pBdr>
          <w:bottom w:val="single" w:sz="6" w:space="4" w:color="B8752F"/>
        </w:pBdr>
        <w:spacing w:before="420" w:after="160"/>
      </w:pPr>
      <w:r>
        <w:rPr>
          <w:b/>
          <w:bCs/>
          <w:color w:val="1F2A37"/>
          <w:sz w:val="26"/>
          <w:szCs w:val="26"/>
        </w:rPr>
        <w:t>EXECUTIVE SUMMARY</w:t>
      </w:r>
    </w:p>
    <w:p w14:paraId="4530C34A" w14:textId="77777777" w:rsidR="0014171F" w:rsidRDefault="00000000">
      <w:pPr>
        <w:spacing w:after="160" w:line="288" w:lineRule="auto"/>
      </w:pPr>
      <w:r>
        <w:t>Hollywood Evolves is an executive podcast series developed by TMT Insights in partnership with the Digital Entertainment Group, timed to DEG's 30th anniversary. The series positions DEG and its studio partners at the center of a timely industry conversation: how successive waves of technology have changed the way audiences discover, experience, monetize, and participate in entertainment.</w:t>
      </w:r>
    </w:p>
    <w:p w14:paraId="7AC0D774" w14:textId="77777777" w:rsidR="0014171F" w:rsidRDefault="00000000">
      <w:pPr>
        <w:spacing w:after="160" w:line="288" w:lineRule="auto"/>
      </w:pPr>
      <w:r>
        <w:t>Each episode combines historical context, current market analysis, and future-oriented forecasting for an executive audience. The result is a strategic content platform that functions simultaneously as thought leadership, partner engagement, and a structured mechanism for capturing industry sentiment through prediction-market participation.</w:t>
      </w:r>
    </w:p>
    <w:p w14:paraId="53167AB8" w14:textId="77777777" w:rsidR="0014171F" w:rsidRDefault="00000000">
      <w:pPr>
        <w:pStyle w:val="Heading1"/>
        <w:pBdr>
          <w:bottom w:val="single" w:sz="6" w:space="4" w:color="B8752F"/>
        </w:pBdr>
        <w:spacing w:before="420" w:after="160"/>
      </w:pPr>
      <w:r>
        <w:rPr>
          <w:b/>
          <w:bCs/>
          <w:color w:val="1F2A37"/>
          <w:sz w:val="26"/>
          <w:szCs w:val="26"/>
        </w:rPr>
        <w:t>STRATEGIC RATIONALE</w:t>
      </w:r>
    </w:p>
    <w:p w14:paraId="206ECF2B" w14:textId="77777777" w:rsidR="0014171F" w:rsidRDefault="00000000">
      <w:pPr>
        <w:spacing w:after="160" w:line="288" w:lineRule="auto"/>
      </w:pPr>
      <w:r>
        <w:t>The entertainment business is entering another technology-led inflection point. Distribution models, creative workflows, monetization systems, and audience expectations are all evolving simultaneously. Hollywood Evolves frames these shifts through an executive lens — not as nostalgia, but as a disciplined examination of the catalysts that have repeatedly expanded the industry's creative and commercial possibilities.</w:t>
      </w:r>
    </w:p>
    <w:p w14:paraId="560E74CB" w14:textId="77777777" w:rsidR="0014171F" w:rsidRDefault="00000000">
      <w:pPr>
        <w:spacing w:after="160" w:line="288" w:lineRule="auto"/>
      </w:pPr>
      <w:r>
        <w:t>By connecting past disruptions to present operating realities, the series creates a forward-looking platform for understanding where the next phase of growth may emerge.</w:t>
      </w:r>
    </w:p>
    <w:p w14:paraId="03A3773A" w14:textId="77777777" w:rsidR="0014171F" w:rsidRDefault="00000000">
      <w:pPr>
        <w:pStyle w:val="Heading1"/>
        <w:pBdr>
          <w:bottom w:val="single" w:sz="6" w:space="4" w:color="B8752F"/>
        </w:pBdr>
        <w:spacing w:before="420" w:after="160"/>
      </w:pPr>
      <w:r>
        <w:rPr>
          <w:b/>
          <w:bCs/>
          <w:color w:val="1F2A37"/>
          <w:sz w:val="26"/>
          <w:szCs w:val="26"/>
        </w:rPr>
        <w:t>SERIES FORMAT</w:t>
      </w:r>
    </w:p>
    <w:p w14:paraId="312199A1" w14:textId="77777777" w:rsidR="0014171F" w:rsidRDefault="00000000">
      <w:pPr>
        <w:spacing w:after="160" w:line="288" w:lineRule="auto"/>
      </w:pPr>
      <w:r>
        <w:t>Each episode is recorded with Ian and two expert guests — one who can ground the topic in Hollywood's historical arc, and one who is actively operating in the current market — moving efficiently from historical context to current relevance to a future-facing executive takeaway.</w:t>
      </w:r>
    </w:p>
    <w:tbl>
      <w:tblPr>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left w:w="10" w:type="dxa"/>
          <w:right w:w="10" w:type="dxa"/>
        </w:tblCellMar>
        <w:tblLook w:val="0000" w:firstRow="0" w:lastRow="0" w:firstColumn="0" w:lastColumn="0" w:noHBand="0" w:noVBand="0"/>
      </w:tblPr>
      <w:tblGrid>
        <w:gridCol w:w="2100"/>
        <w:gridCol w:w="1400"/>
        <w:gridCol w:w="5860"/>
      </w:tblGrid>
      <w:tr w:rsidR="0014171F" w14:paraId="0FD66DEC" w14:textId="77777777">
        <w:tblPrEx>
          <w:tblCellMar>
            <w:top w:w="0" w:type="dxa"/>
            <w:bottom w:w="0" w:type="dxa"/>
          </w:tblCellMar>
        </w:tblPrEx>
        <w:trPr>
          <w:tblHeader/>
        </w:trPr>
        <w:tc>
          <w:tcPr>
            <w:tcW w:w="2100" w:type="dxa"/>
            <w:shd w:val="clear" w:color="auto" w:fill="1F2A37"/>
            <w:tcMar>
              <w:top w:w="90" w:type="dxa"/>
              <w:left w:w="110" w:type="dxa"/>
              <w:bottom w:w="90" w:type="dxa"/>
              <w:right w:w="110" w:type="dxa"/>
            </w:tcMar>
          </w:tcPr>
          <w:p w14:paraId="710F79BF" w14:textId="77777777" w:rsidR="0014171F" w:rsidRDefault="00000000">
            <w:pPr>
              <w:spacing w:after="60"/>
            </w:pPr>
            <w:r>
              <w:rPr>
                <w:b/>
                <w:bCs/>
                <w:color w:val="FFFFFF"/>
                <w:sz w:val="18"/>
                <w:szCs w:val="18"/>
              </w:rPr>
              <w:t>SEGMENT</w:t>
            </w:r>
          </w:p>
        </w:tc>
        <w:tc>
          <w:tcPr>
            <w:tcW w:w="1400" w:type="dxa"/>
            <w:shd w:val="clear" w:color="auto" w:fill="1F2A37"/>
            <w:tcMar>
              <w:top w:w="90" w:type="dxa"/>
              <w:left w:w="110" w:type="dxa"/>
              <w:bottom w:w="90" w:type="dxa"/>
              <w:right w:w="110" w:type="dxa"/>
            </w:tcMar>
          </w:tcPr>
          <w:p w14:paraId="79BE806E" w14:textId="77777777" w:rsidR="0014171F" w:rsidRDefault="00000000">
            <w:pPr>
              <w:spacing w:after="60"/>
            </w:pPr>
            <w:r>
              <w:rPr>
                <w:b/>
                <w:bCs/>
                <w:color w:val="FFFFFF"/>
                <w:sz w:val="18"/>
                <w:szCs w:val="18"/>
              </w:rPr>
              <w:t>TIME</w:t>
            </w:r>
          </w:p>
        </w:tc>
        <w:tc>
          <w:tcPr>
            <w:tcW w:w="5860" w:type="dxa"/>
            <w:shd w:val="clear" w:color="auto" w:fill="1F2A37"/>
            <w:tcMar>
              <w:top w:w="90" w:type="dxa"/>
              <w:left w:w="110" w:type="dxa"/>
              <w:bottom w:w="90" w:type="dxa"/>
              <w:right w:w="110" w:type="dxa"/>
            </w:tcMar>
          </w:tcPr>
          <w:p w14:paraId="1C51F952" w14:textId="77777777" w:rsidR="0014171F" w:rsidRDefault="00000000">
            <w:pPr>
              <w:spacing w:after="60"/>
            </w:pPr>
            <w:r>
              <w:rPr>
                <w:b/>
                <w:bCs/>
                <w:color w:val="FFFFFF"/>
                <w:sz w:val="18"/>
                <w:szCs w:val="18"/>
              </w:rPr>
              <w:t>CONTENT</w:t>
            </w:r>
          </w:p>
        </w:tc>
      </w:tr>
      <w:tr w:rsidR="0014171F" w14:paraId="207028D0" w14:textId="77777777">
        <w:tblPrEx>
          <w:tblCellMar>
            <w:top w:w="0" w:type="dxa"/>
            <w:bottom w:w="0" w:type="dxa"/>
          </w:tblCellMar>
        </w:tblPrEx>
        <w:tc>
          <w:tcPr>
            <w:tcW w:w="2100" w:type="dxa"/>
            <w:tcMar>
              <w:top w:w="100" w:type="dxa"/>
              <w:left w:w="110" w:type="dxa"/>
              <w:bottom w:w="100" w:type="dxa"/>
              <w:right w:w="110" w:type="dxa"/>
            </w:tcMar>
          </w:tcPr>
          <w:p w14:paraId="3043B3E1" w14:textId="77777777" w:rsidR="0014171F" w:rsidRDefault="00000000">
            <w:pPr>
              <w:spacing w:after="60"/>
            </w:pPr>
            <w:r>
              <w:rPr>
                <w:b/>
                <w:bCs/>
                <w:sz w:val="20"/>
                <w:szCs w:val="20"/>
              </w:rPr>
              <w:t>Introduction</w:t>
            </w:r>
          </w:p>
        </w:tc>
        <w:tc>
          <w:tcPr>
            <w:tcW w:w="1400" w:type="dxa"/>
            <w:tcMar>
              <w:top w:w="100" w:type="dxa"/>
              <w:left w:w="110" w:type="dxa"/>
              <w:bottom w:w="100" w:type="dxa"/>
              <w:right w:w="110" w:type="dxa"/>
            </w:tcMar>
          </w:tcPr>
          <w:p w14:paraId="30587A9B" w14:textId="77777777" w:rsidR="0014171F" w:rsidRDefault="00000000">
            <w:pPr>
              <w:spacing w:after="60"/>
            </w:pPr>
            <w:r>
              <w:rPr>
                <w:sz w:val="20"/>
                <w:szCs w:val="20"/>
              </w:rPr>
              <w:t>5 min</w:t>
            </w:r>
          </w:p>
        </w:tc>
        <w:tc>
          <w:tcPr>
            <w:tcW w:w="5860" w:type="dxa"/>
            <w:tcMar>
              <w:top w:w="100" w:type="dxa"/>
              <w:left w:w="110" w:type="dxa"/>
              <w:bottom w:w="100" w:type="dxa"/>
              <w:right w:w="110" w:type="dxa"/>
            </w:tcMar>
          </w:tcPr>
          <w:p w14:paraId="4D646B2B" w14:textId="77777777" w:rsidR="0014171F" w:rsidRDefault="00000000">
            <w:pPr>
              <w:spacing w:after="60"/>
            </w:pPr>
            <w:r>
              <w:rPr>
                <w:sz w:val="20"/>
                <w:szCs w:val="20"/>
              </w:rPr>
              <w:t>Ian introduces the guests and the episode's innovation theme, framing the technology shift under discussion.</w:t>
            </w:r>
          </w:p>
        </w:tc>
      </w:tr>
      <w:tr w:rsidR="0014171F" w14:paraId="44E9F0EA" w14:textId="77777777">
        <w:tblPrEx>
          <w:tblCellMar>
            <w:top w:w="0" w:type="dxa"/>
            <w:bottom w:w="0" w:type="dxa"/>
          </w:tblCellMar>
        </w:tblPrEx>
        <w:tc>
          <w:tcPr>
            <w:tcW w:w="2100" w:type="dxa"/>
            <w:tcMar>
              <w:top w:w="100" w:type="dxa"/>
              <w:left w:w="110" w:type="dxa"/>
              <w:bottom w:w="100" w:type="dxa"/>
              <w:right w:w="110" w:type="dxa"/>
            </w:tcMar>
          </w:tcPr>
          <w:p w14:paraId="09DA8563" w14:textId="77777777" w:rsidR="0014171F" w:rsidRDefault="00000000">
            <w:pPr>
              <w:spacing w:after="60"/>
            </w:pPr>
            <w:r>
              <w:rPr>
                <w:b/>
                <w:bCs/>
                <w:color w:val="B8752F"/>
                <w:sz w:val="20"/>
                <w:szCs w:val="20"/>
              </w:rPr>
              <w:lastRenderedPageBreak/>
              <w:t>Act I — The Past</w:t>
            </w:r>
          </w:p>
        </w:tc>
        <w:tc>
          <w:tcPr>
            <w:tcW w:w="1400" w:type="dxa"/>
            <w:tcMar>
              <w:top w:w="100" w:type="dxa"/>
              <w:left w:w="110" w:type="dxa"/>
              <w:bottom w:w="100" w:type="dxa"/>
              <w:right w:w="110" w:type="dxa"/>
            </w:tcMar>
          </w:tcPr>
          <w:p w14:paraId="1F3BE7EE" w14:textId="77777777" w:rsidR="0014171F" w:rsidRDefault="00000000">
            <w:pPr>
              <w:spacing w:after="60"/>
            </w:pPr>
            <w:r>
              <w:rPr>
                <w:sz w:val="20"/>
                <w:szCs w:val="20"/>
              </w:rPr>
              <w:t>10 min</w:t>
            </w:r>
          </w:p>
        </w:tc>
        <w:tc>
          <w:tcPr>
            <w:tcW w:w="5860" w:type="dxa"/>
            <w:tcMar>
              <w:top w:w="100" w:type="dxa"/>
              <w:left w:w="110" w:type="dxa"/>
              <w:bottom w:w="100" w:type="dxa"/>
              <w:right w:w="110" w:type="dxa"/>
            </w:tcMar>
          </w:tcPr>
          <w:p w14:paraId="583D5B71" w14:textId="77777777" w:rsidR="0014171F" w:rsidRDefault="00000000">
            <w:pPr>
              <w:spacing w:after="60"/>
            </w:pPr>
            <w:r>
              <w:rPr>
                <w:sz w:val="20"/>
                <w:szCs w:val="20"/>
              </w:rPr>
              <w:t>The historical guest explains the prior pivot: what changed, and what leap in quality or access it unlocked.</w:t>
            </w:r>
          </w:p>
        </w:tc>
      </w:tr>
      <w:tr w:rsidR="0014171F" w14:paraId="6D734915" w14:textId="77777777">
        <w:tblPrEx>
          <w:tblCellMar>
            <w:top w:w="0" w:type="dxa"/>
            <w:bottom w:w="0" w:type="dxa"/>
          </w:tblCellMar>
        </w:tblPrEx>
        <w:tc>
          <w:tcPr>
            <w:tcW w:w="2100" w:type="dxa"/>
            <w:tcMar>
              <w:top w:w="100" w:type="dxa"/>
              <w:left w:w="110" w:type="dxa"/>
              <w:bottom w:w="100" w:type="dxa"/>
              <w:right w:w="110" w:type="dxa"/>
            </w:tcMar>
          </w:tcPr>
          <w:p w14:paraId="5DCC2C4E" w14:textId="77777777" w:rsidR="0014171F" w:rsidRDefault="00000000">
            <w:pPr>
              <w:spacing w:after="60"/>
            </w:pPr>
            <w:r>
              <w:rPr>
                <w:b/>
                <w:bCs/>
                <w:sz w:val="20"/>
                <w:szCs w:val="20"/>
              </w:rPr>
              <w:t>Act II — The Present</w:t>
            </w:r>
          </w:p>
        </w:tc>
        <w:tc>
          <w:tcPr>
            <w:tcW w:w="1400" w:type="dxa"/>
            <w:tcMar>
              <w:top w:w="100" w:type="dxa"/>
              <w:left w:w="110" w:type="dxa"/>
              <w:bottom w:w="100" w:type="dxa"/>
              <w:right w:w="110" w:type="dxa"/>
            </w:tcMar>
          </w:tcPr>
          <w:p w14:paraId="7CCC8A5E" w14:textId="77777777" w:rsidR="0014171F" w:rsidRDefault="00000000">
            <w:pPr>
              <w:spacing w:after="60"/>
            </w:pPr>
            <w:r>
              <w:rPr>
                <w:sz w:val="20"/>
                <w:szCs w:val="20"/>
              </w:rPr>
              <w:t>10 min</w:t>
            </w:r>
          </w:p>
        </w:tc>
        <w:tc>
          <w:tcPr>
            <w:tcW w:w="5860" w:type="dxa"/>
            <w:tcMar>
              <w:top w:w="100" w:type="dxa"/>
              <w:left w:w="110" w:type="dxa"/>
              <w:bottom w:w="100" w:type="dxa"/>
              <w:right w:w="110" w:type="dxa"/>
            </w:tcMar>
          </w:tcPr>
          <w:p w14:paraId="4DE536C7" w14:textId="77777777" w:rsidR="0014171F" w:rsidRDefault="00000000">
            <w:pPr>
              <w:spacing w:after="60"/>
            </w:pPr>
            <w:r>
              <w:rPr>
                <w:sz w:val="20"/>
                <w:szCs w:val="20"/>
              </w:rPr>
              <w:t>The operating guest analyzes current dynamics — how today's technology is reshaping the content-creator-customer relationship.</w:t>
            </w:r>
          </w:p>
        </w:tc>
      </w:tr>
      <w:tr w:rsidR="0014171F" w14:paraId="06BE9B2A" w14:textId="77777777">
        <w:tblPrEx>
          <w:tblCellMar>
            <w:top w:w="0" w:type="dxa"/>
            <w:bottom w:w="0" w:type="dxa"/>
          </w:tblCellMar>
        </w:tblPrEx>
        <w:tc>
          <w:tcPr>
            <w:tcW w:w="2100" w:type="dxa"/>
            <w:tcMar>
              <w:top w:w="100" w:type="dxa"/>
              <w:left w:w="110" w:type="dxa"/>
              <w:bottom w:w="100" w:type="dxa"/>
              <w:right w:w="110" w:type="dxa"/>
            </w:tcMar>
          </w:tcPr>
          <w:p w14:paraId="7AC78DD5" w14:textId="77777777" w:rsidR="0014171F" w:rsidRDefault="00000000">
            <w:pPr>
              <w:spacing w:after="60"/>
            </w:pPr>
            <w:r>
              <w:rPr>
                <w:b/>
                <w:bCs/>
                <w:color w:val="1D6FA5"/>
                <w:sz w:val="20"/>
                <w:szCs w:val="20"/>
              </w:rPr>
              <w:t>Act III — Future Synthesis</w:t>
            </w:r>
          </w:p>
        </w:tc>
        <w:tc>
          <w:tcPr>
            <w:tcW w:w="1400" w:type="dxa"/>
            <w:tcMar>
              <w:top w:w="100" w:type="dxa"/>
              <w:left w:w="110" w:type="dxa"/>
              <w:bottom w:w="100" w:type="dxa"/>
              <w:right w:w="110" w:type="dxa"/>
            </w:tcMar>
          </w:tcPr>
          <w:p w14:paraId="54991119" w14:textId="2FB30327" w:rsidR="0014171F" w:rsidRDefault="004827B3">
            <w:pPr>
              <w:spacing w:after="60"/>
            </w:pPr>
            <w:r>
              <w:rPr>
                <w:sz w:val="20"/>
                <w:szCs w:val="20"/>
              </w:rPr>
              <w:t>10</w:t>
            </w:r>
            <w:r w:rsidR="00000000">
              <w:rPr>
                <w:sz w:val="20"/>
                <w:szCs w:val="20"/>
              </w:rPr>
              <w:t xml:space="preserve"> min</w:t>
            </w:r>
          </w:p>
        </w:tc>
        <w:tc>
          <w:tcPr>
            <w:tcW w:w="5860" w:type="dxa"/>
            <w:tcMar>
              <w:top w:w="100" w:type="dxa"/>
              <w:left w:w="110" w:type="dxa"/>
              <w:bottom w:w="100" w:type="dxa"/>
              <w:right w:w="110" w:type="dxa"/>
            </w:tcMar>
          </w:tcPr>
          <w:p w14:paraId="0F31DB81" w14:textId="77777777" w:rsidR="0014171F" w:rsidRDefault="00000000">
            <w:pPr>
              <w:spacing w:after="60"/>
            </w:pPr>
            <w:r>
              <w:rPr>
                <w:sz w:val="20"/>
                <w:szCs w:val="20"/>
              </w:rPr>
              <w:t>Both guests commit to a probability forecast on a defined future scenario; the audience casts a Community Forecast against it.</w:t>
            </w:r>
          </w:p>
        </w:tc>
      </w:tr>
    </w:tbl>
    <w:p w14:paraId="59534FAE" w14:textId="77777777" w:rsidR="0014171F" w:rsidRDefault="0014171F">
      <w:pPr>
        <w:spacing w:before="200"/>
      </w:pPr>
    </w:p>
    <w:p w14:paraId="6C24B39B" w14:textId="77777777" w:rsidR="0014171F" w:rsidRDefault="00000000">
      <w:pPr>
        <w:pStyle w:val="Heading1"/>
        <w:pBdr>
          <w:bottom w:val="single" w:sz="6" w:space="4" w:color="B8752F"/>
        </w:pBdr>
        <w:spacing w:before="420" w:after="160"/>
      </w:pPr>
      <w:r>
        <w:rPr>
          <w:b/>
          <w:bCs/>
          <w:color w:val="1F2A37"/>
          <w:sz w:val="26"/>
          <w:szCs w:val="26"/>
        </w:rPr>
        <w:t>THE PREDICTION MARKET: AUDIENCE ENGAGEMENT &amp; INDUSTRY FORECASTING</w:t>
      </w:r>
    </w:p>
    <w:p w14:paraId="570B22A4" w14:textId="77777777" w:rsidR="0014171F" w:rsidRDefault="00000000">
      <w:pPr>
        <w:spacing w:after="160" w:line="288" w:lineRule="auto"/>
      </w:pPr>
      <w:r>
        <w:t>To extend the series beyond a passive listening experience, Hollywood Evolves incorporates a structured prediction-market component into every episode's finale. In collaboration with DEG sub-committees, each episode surfaces a forecast question aligned to a meaningful industry theme — creating a differentiated engagement layer for studio, platform, technology, and creative leaders, and generating a recurring signal of professional sentiment across the DEG community.</w:t>
      </w:r>
    </w:p>
    <w:p w14:paraId="613CC59E" w14:textId="77777777" w:rsidR="0014171F" w:rsidRDefault="00000000">
      <w:pPr>
        <w:pStyle w:val="ListParagraph"/>
        <w:numPr>
          <w:ilvl w:val="0"/>
          <w:numId w:val="1"/>
        </w:numPr>
        <w:spacing w:after="120" w:line="276" w:lineRule="auto"/>
      </w:pPr>
      <w:r>
        <w:rPr>
          <w:b/>
          <w:bCs/>
        </w:rPr>
        <w:t xml:space="preserve">Expert vs. Crowd Consensus: We contrast the guests' “Expert Alpha,” </w:t>
      </w:r>
      <w:r>
        <w:t>their professional percentage forecast — against the Community Forecast gathered from the audience through the series' companion website.</w:t>
      </w:r>
    </w:p>
    <w:p w14:paraId="737628A5" w14:textId="77777777" w:rsidR="0014171F" w:rsidRDefault="00000000">
      <w:pPr>
        <w:pStyle w:val="ListParagraph"/>
        <w:numPr>
          <w:ilvl w:val="0"/>
          <w:numId w:val="1"/>
        </w:numPr>
        <w:spacing w:after="120" w:line="276" w:lineRule="auto"/>
      </w:pPr>
      <w:r>
        <w:rPr>
          <w:b/>
          <w:bCs/>
        </w:rPr>
        <w:t xml:space="preserve">Calibration &amp; Accountability: Later episodes deliver “Market Updates,” </w:t>
      </w:r>
      <w:r>
        <w:t xml:space="preserve">revisiting past scenarios to track their accuracy. This loop turns the series into a living laboratory for predictive </w:t>
      </w:r>
      <w:proofErr w:type="gramStart"/>
      <w:r>
        <w:t>validation, and</w:t>
      </w:r>
      <w:proofErr w:type="gramEnd"/>
      <w:r>
        <w:t xml:space="preserve"> gives DEG's live </w:t>
      </w:r>
      <w:proofErr w:type="spellStart"/>
      <w:r>
        <w:t>Entech</w:t>
      </w:r>
      <w:proofErr w:type="spellEnd"/>
      <w:r>
        <w:t xml:space="preserve"> events a natural piece of recurring content.</w:t>
      </w:r>
    </w:p>
    <w:p w14:paraId="17023183" w14:textId="77777777" w:rsidR="0014171F" w:rsidRDefault="00000000">
      <w:pPr>
        <w:pStyle w:val="ListParagraph"/>
        <w:numPr>
          <w:ilvl w:val="0"/>
          <w:numId w:val="1"/>
        </w:numPr>
        <w:spacing w:after="120" w:line="276" w:lineRule="auto"/>
      </w:pPr>
      <w:r>
        <w:rPr>
          <w:b/>
          <w:bCs/>
        </w:rPr>
        <w:t xml:space="preserve">Why It's Effective: By quantifying the future, </w:t>
      </w:r>
      <w:r>
        <w:t>we replace abstract speculation with actionable data — a high-utility feedback loop that keeps listeners returning to see whether the Market Consensus has shifted.</w:t>
      </w:r>
    </w:p>
    <w:p w14:paraId="4A3233E6" w14:textId="77777777" w:rsidR="0014171F" w:rsidRDefault="00000000">
      <w:pPr>
        <w:pStyle w:val="Heading1"/>
        <w:pBdr>
          <w:bottom w:val="single" w:sz="6" w:space="4" w:color="B8752F"/>
        </w:pBdr>
        <w:spacing w:before="420" w:after="160"/>
      </w:pPr>
      <w:r>
        <w:rPr>
          <w:b/>
          <w:bCs/>
          <w:color w:val="1F2A37"/>
          <w:sz w:val="26"/>
          <w:szCs w:val="26"/>
        </w:rPr>
        <w:t>VISUAL &amp; SOCIAL STRATEGY</w:t>
      </w:r>
    </w:p>
    <w:p w14:paraId="02FDD912" w14:textId="1405F4BC" w:rsidR="0014171F" w:rsidRDefault="00000000">
      <w:pPr>
        <w:spacing w:after="160" w:line="288" w:lineRule="auto"/>
      </w:pPr>
      <w:r>
        <w:t xml:space="preserve">The series </w:t>
      </w:r>
      <w:r w:rsidR="000E4F64">
        <w:t>will explore using</w:t>
      </w:r>
      <w:r>
        <w:t xml:space="preserve"> AI-augmented visual storytelling to translate complex technology shifts into compelling social-first assets. Historical milestones, industry anecdotes, and forecast questions are rendered as high-impact visual metaphors for clips, trailers, and promotional materials — giving the series a distinctive look, creating shareable entry points for non-specialist audiences, and reinforcing the link between each episode's narrative and its forecast topic.</w:t>
      </w:r>
    </w:p>
    <w:p w14:paraId="5F7D4B33" w14:textId="77777777" w:rsidR="0014171F" w:rsidRDefault="00000000">
      <w:pPr>
        <w:pStyle w:val="Heading1"/>
        <w:pBdr>
          <w:bottom w:val="single" w:sz="6" w:space="4" w:color="B8752F"/>
        </w:pBdr>
        <w:spacing w:before="420" w:after="160"/>
      </w:pPr>
      <w:r>
        <w:rPr>
          <w:b/>
          <w:bCs/>
          <w:color w:val="1F2A37"/>
          <w:sz w:val="26"/>
          <w:szCs w:val="26"/>
        </w:rPr>
        <w:t>EXECUTIVE VALUE PROPOSITION</w:t>
      </w:r>
    </w:p>
    <w:p w14:paraId="64BABE31" w14:textId="77777777" w:rsidR="0014171F" w:rsidRDefault="00000000">
      <w:pPr>
        <w:pStyle w:val="ListParagraph"/>
        <w:numPr>
          <w:ilvl w:val="0"/>
          <w:numId w:val="1"/>
        </w:numPr>
        <w:spacing w:after="120" w:line="276" w:lineRule="auto"/>
      </w:pPr>
      <w:r>
        <w:rPr>
          <w:b/>
          <w:bCs/>
        </w:rPr>
        <w:t xml:space="preserve">Thought Leadership: </w:t>
      </w:r>
      <w:r>
        <w:t>Positions DEG and participating studios as conveners of the industry's most important technology conversations.</w:t>
      </w:r>
    </w:p>
    <w:p w14:paraId="6B1F4666" w14:textId="77777777" w:rsidR="0014171F" w:rsidRDefault="00000000">
      <w:pPr>
        <w:pStyle w:val="ListParagraph"/>
        <w:numPr>
          <w:ilvl w:val="0"/>
          <w:numId w:val="1"/>
        </w:numPr>
        <w:spacing w:after="120" w:line="276" w:lineRule="auto"/>
      </w:pPr>
      <w:r>
        <w:rPr>
          <w:b/>
          <w:bCs/>
        </w:rPr>
        <w:lastRenderedPageBreak/>
        <w:t xml:space="preserve">Partner Engagement: </w:t>
      </w:r>
      <w:r>
        <w:t>Creates a premium forum for executives, technologists, creators, and commercial leaders to contribute perspective in public.</w:t>
      </w:r>
    </w:p>
    <w:p w14:paraId="29DCA6C6" w14:textId="77777777" w:rsidR="0014171F" w:rsidRDefault="00000000">
      <w:pPr>
        <w:pStyle w:val="ListParagraph"/>
        <w:numPr>
          <w:ilvl w:val="0"/>
          <w:numId w:val="1"/>
        </w:numPr>
        <w:spacing w:after="120" w:line="276" w:lineRule="auto"/>
      </w:pPr>
      <w:r>
        <w:rPr>
          <w:b/>
          <w:bCs/>
        </w:rPr>
        <w:t xml:space="preserve">Market Intelligence: </w:t>
      </w:r>
      <w:r>
        <w:t>Uses forecast questions to capture directional sentiment from a highly relevant professional audience, episode over episode.</w:t>
      </w:r>
    </w:p>
    <w:p w14:paraId="10F6CD2E" w14:textId="77777777" w:rsidR="0014171F" w:rsidRDefault="00000000">
      <w:pPr>
        <w:pStyle w:val="ListParagraph"/>
        <w:numPr>
          <w:ilvl w:val="0"/>
          <w:numId w:val="1"/>
        </w:numPr>
        <w:spacing w:after="120" w:line="276" w:lineRule="auto"/>
      </w:pPr>
      <w:r>
        <w:rPr>
          <w:b/>
          <w:bCs/>
        </w:rPr>
        <w:t xml:space="preserve">Promotional Utility: </w:t>
      </w:r>
      <w:r>
        <w:t>Generates social clips, visual assets, and recurring conversation hooks tied to each episode's theme.</w:t>
      </w:r>
    </w:p>
    <w:p w14:paraId="672A099E" w14:textId="77777777" w:rsidR="0014171F" w:rsidRDefault="00000000">
      <w:pPr>
        <w:pStyle w:val="Heading1"/>
        <w:pBdr>
          <w:bottom w:val="single" w:sz="6" w:space="4" w:color="B8752F"/>
        </w:pBdr>
        <w:spacing w:before="420" w:after="160"/>
      </w:pPr>
      <w:r>
        <w:rPr>
          <w:b/>
          <w:bCs/>
          <w:color w:val="1F2A37"/>
          <w:sz w:val="26"/>
          <w:szCs w:val="26"/>
        </w:rPr>
        <w:t>GUEST &amp; PARTICIPANT STRATEGY</w:t>
      </w:r>
    </w:p>
    <w:p w14:paraId="52BFDD2C" w14:textId="77777777" w:rsidR="0014171F" w:rsidRDefault="00000000">
      <w:pPr>
        <w:spacing w:after="160" w:line="288" w:lineRule="auto"/>
      </w:pPr>
      <w:r>
        <w:t>The strongest guest slate balances senior studio leadership, operational technology expertise, creator perspectives, and forward-looking analysts. Each episode should pair one guest who can speak to the historical or institutional arc of the topic with one guest who is actively shaping the current market or technology landscape.</w:t>
      </w:r>
    </w:p>
    <w:p w14:paraId="2594B49B" w14:textId="77777777" w:rsidR="0014171F" w:rsidRDefault="00000000">
      <w:pPr>
        <w:spacing w:after="160" w:line="288" w:lineRule="auto"/>
      </w:pPr>
      <w:r>
        <w:t>Recommended outreach approach: build each episode around a complementary pairing — one institutional voice who can ground the topic in Hollywood's historical evolution, and one current operator or innovator who can translate that history into practical implications for the next three to five years.</w:t>
      </w:r>
    </w:p>
    <w:p w14:paraId="54E16D0F" w14:textId="77777777" w:rsidR="0014171F" w:rsidRDefault="00000000">
      <w:pPr>
        <w:pStyle w:val="Heading1"/>
        <w:pBdr>
          <w:bottom w:val="single" w:sz="6" w:space="4" w:color="B8752F"/>
        </w:pBdr>
        <w:spacing w:before="420" w:after="160"/>
      </w:pPr>
      <w:r>
        <w:rPr>
          <w:b/>
          <w:bCs/>
          <w:color w:val="1F2A37"/>
          <w:sz w:val="26"/>
          <w:szCs w:val="26"/>
        </w:rPr>
        <w:t>PROPOSED SEASON ONE SLATE</w:t>
      </w:r>
    </w:p>
    <w:p w14:paraId="6721AE9D" w14:textId="77777777" w:rsidR="0014171F" w:rsidRDefault="00000000">
      <w:pPr>
        <w:spacing w:after="160" w:line="288" w:lineRule="auto"/>
      </w:pPr>
      <w:r>
        <w:t>Eight episodes, each closing on a forecast question tied directly to its theme.</w:t>
      </w:r>
    </w:p>
    <w:tbl>
      <w:tblPr>
        <w:tblW w:w="9360" w:type="dxa"/>
        <w:tblBorders>
          <w:top w:val="single" w:sz="4" w:space="0" w:color="C9C2B4"/>
          <w:left w:val="single" w:sz="4" w:space="0" w:color="C9C2B4"/>
          <w:bottom w:val="single" w:sz="4" w:space="0" w:color="C9C2B4"/>
          <w:right w:val="single" w:sz="4" w:space="0" w:color="C9C2B4"/>
          <w:insideH w:val="single" w:sz="4" w:space="0" w:color="C9C2B4"/>
          <w:insideV w:val="single" w:sz="4" w:space="0" w:color="C9C2B4"/>
        </w:tblBorders>
        <w:tblCellMar>
          <w:left w:w="10" w:type="dxa"/>
          <w:right w:w="10" w:type="dxa"/>
        </w:tblCellMar>
        <w:tblLook w:val="0000" w:firstRow="0" w:lastRow="0" w:firstColumn="0" w:lastColumn="0" w:noHBand="0" w:noVBand="0"/>
      </w:tblPr>
      <w:tblGrid>
        <w:gridCol w:w="700"/>
        <w:gridCol w:w="2660"/>
        <w:gridCol w:w="6000"/>
      </w:tblGrid>
      <w:tr w:rsidR="0014171F" w14:paraId="7B096A07" w14:textId="77777777">
        <w:tblPrEx>
          <w:tblCellMar>
            <w:top w:w="0" w:type="dxa"/>
            <w:bottom w:w="0" w:type="dxa"/>
          </w:tblCellMar>
        </w:tblPrEx>
        <w:trPr>
          <w:tblHeader/>
        </w:trPr>
        <w:tc>
          <w:tcPr>
            <w:tcW w:w="700" w:type="dxa"/>
            <w:shd w:val="clear" w:color="auto" w:fill="1F2A37"/>
            <w:tcMar>
              <w:top w:w="90" w:type="dxa"/>
              <w:left w:w="110" w:type="dxa"/>
              <w:bottom w:w="90" w:type="dxa"/>
              <w:right w:w="110" w:type="dxa"/>
            </w:tcMar>
          </w:tcPr>
          <w:p w14:paraId="1234B8E5" w14:textId="77777777" w:rsidR="0014171F" w:rsidRDefault="00000000">
            <w:pPr>
              <w:spacing w:after="60"/>
            </w:pPr>
            <w:r>
              <w:rPr>
                <w:b/>
                <w:bCs/>
                <w:color w:val="FFFFFF"/>
                <w:sz w:val="18"/>
                <w:szCs w:val="18"/>
              </w:rPr>
              <w:t>EP.</w:t>
            </w:r>
          </w:p>
        </w:tc>
        <w:tc>
          <w:tcPr>
            <w:tcW w:w="2660" w:type="dxa"/>
            <w:shd w:val="clear" w:color="auto" w:fill="1F2A37"/>
            <w:tcMar>
              <w:top w:w="90" w:type="dxa"/>
              <w:left w:w="110" w:type="dxa"/>
              <w:bottom w:w="90" w:type="dxa"/>
              <w:right w:w="110" w:type="dxa"/>
            </w:tcMar>
          </w:tcPr>
          <w:p w14:paraId="0BA5E656" w14:textId="77777777" w:rsidR="0014171F" w:rsidRDefault="00000000">
            <w:pPr>
              <w:spacing w:after="60"/>
            </w:pPr>
            <w:r>
              <w:rPr>
                <w:b/>
                <w:bCs/>
                <w:color w:val="FFFFFF"/>
                <w:sz w:val="18"/>
                <w:szCs w:val="18"/>
              </w:rPr>
              <w:t>TITLE</w:t>
            </w:r>
          </w:p>
        </w:tc>
        <w:tc>
          <w:tcPr>
            <w:tcW w:w="6000" w:type="dxa"/>
            <w:shd w:val="clear" w:color="auto" w:fill="1F2A37"/>
            <w:tcMar>
              <w:top w:w="90" w:type="dxa"/>
              <w:left w:w="110" w:type="dxa"/>
              <w:bottom w:w="90" w:type="dxa"/>
              <w:right w:w="110" w:type="dxa"/>
            </w:tcMar>
          </w:tcPr>
          <w:p w14:paraId="76822D1B" w14:textId="77777777" w:rsidR="0014171F" w:rsidRDefault="00000000">
            <w:pPr>
              <w:spacing w:after="60"/>
            </w:pPr>
            <w:r>
              <w:rPr>
                <w:b/>
                <w:bCs/>
                <w:color w:val="FFFFFF"/>
                <w:sz w:val="18"/>
                <w:szCs w:val="18"/>
              </w:rPr>
              <w:t>SYNOPSIS</w:t>
            </w:r>
          </w:p>
        </w:tc>
      </w:tr>
      <w:tr w:rsidR="0014171F" w14:paraId="6EE2C2C2" w14:textId="77777777">
        <w:tblPrEx>
          <w:tblCellMar>
            <w:top w:w="0" w:type="dxa"/>
            <w:bottom w:w="0" w:type="dxa"/>
          </w:tblCellMar>
        </w:tblPrEx>
        <w:tc>
          <w:tcPr>
            <w:tcW w:w="700" w:type="dxa"/>
            <w:tcMar>
              <w:top w:w="100" w:type="dxa"/>
              <w:left w:w="110" w:type="dxa"/>
              <w:bottom w:w="100" w:type="dxa"/>
              <w:right w:w="110" w:type="dxa"/>
            </w:tcMar>
          </w:tcPr>
          <w:p w14:paraId="33358D19" w14:textId="77777777" w:rsidR="0014171F" w:rsidRDefault="00000000">
            <w:pPr>
              <w:spacing w:after="60"/>
            </w:pPr>
            <w:r>
              <w:rPr>
                <w:b/>
                <w:bCs/>
                <w:color w:val="B8752F"/>
                <w:sz w:val="20"/>
                <w:szCs w:val="20"/>
              </w:rPr>
              <w:t>01</w:t>
            </w:r>
          </w:p>
        </w:tc>
        <w:tc>
          <w:tcPr>
            <w:tcW w:w="2660" w:type="dxa"/>
            <w:tcMar>
              <w:top w:w="100" w:type="dxa"/>
              <w:left w:w="110" w:type="dxa"/>
              <w:bottom w:w="100" w:type="dxa"/>
              <w:right w:w="110" w:type="dxa"/>
            </w:tcMar>
          </w:tcPr>
          <w:p w14:paraId="2872C9FB" w14:textId="77777777" w:rsidR="0014171F" w:rsidRDefault="00000000">
            <w:pPr>
              <w:spacing w:after="60"/>
            </w:pPr>
            <w:r>
              <w:rPr>
                <w:b/>
                <w:bCs/>
                <w:sz w:val="20"/>
                <w:szCs w:val="20"/>
              </w:rPr>
              <w:t>Customer Evolution</w:t>
            </w:r>
          </w:p>
        </w:tc>
        <w:tc>
          <w:tcPr>
            <w:tcW w:w="6000" w:type="dxa"/>
            <w:tcMar>
              <w:top w:w="100" w:type="dxa"/>
              <w:left w:w="110" w:type="dxa"/>
              <w:bottom w:w="100" w:type="dxa"/>
              <w:right w:w="110" w:type="dxa"/>
            </w:tcMar>
          </w:tcPr>
          <w:p w14:paraId="56BB6A1D" w14:textId="77777777" w:rsidR="0014171F" w:rsidRDefault="00000000">
            <w:pPr>
              <w:spacing w:after="60"/>
            </w:pPr>
            <w:r>
              <w:rPr>
                <w:sz w:val="20"/>
                <w:szCs w:val="20"/>
              </w:rPr>
              <w:t>The 75-year arc from the 1947 theatergoer to today's digital viewer, and the strategies studios used to capture, retain, and personalize the audience.</w:t>
            </w:r>
          </w:p>
        </w:tc>
      </w:tr>
      <w:tr w:rsidR="0014171F" w14:paraId="129DB7EC" w14:textId="77777777">
        <w:tblPrEx>
          <w:tblCellMar>
            <w:top w:w="0" w:type="dxa"/>
            <w:bottom w:w="0" w:type="dxa"/>
          </w:tblCellMar>
        </w:tblPrEx>
        <w:tc>
          <w:tcPr>
            <w:tcW w:w="700" w:type="dxa"/>
            <w:tcMar>
              <w:top w:w="100" w:type="dxa"/>
              <w:left w:w="110" w:type="dxa"/>
              <w:bottom w:w="100" w:type="dxa"/>
              <w:right w:w="110" w:type="dxa"/>
            </w:tcMar>
          </w:tcPr>
          <w:p w14:paraId="0C567FB8" w14:textId="77777777" w:rsidR="0014171F" w:rsidRDefault="00000000">
            <w:pPr>
              <w:spacing w:after="60"/>
            </w:pPr>
            <w:r>
              <w:rPr>
                <w:b/>
                <w:bCs/>
                <w:color w:val="B8752F"/>
                <w:sz w:val="20"/>
                <w:szCs w:val="20"/>
              </w:rPr>
              <w:t>02</w:t>
            </w:r>
          </w:p>
        </w:tc>
        <w:tc>
          <w:tcPr>
            <w:tcW w:w="2660" w:type="dxa"/>
            <w:tcMar>
              <w:top w:w="100" w:type="dxa"/>
              <w:left w:w="110" w:type="dxa"/>
              <w:bottom w:w="100" w:type="dxa"/>
              <w:right w:w="110" w:type="dxa"/>
            </w:tcMar>
          </w:tcPr>
          <w:p w14:paraId="6D6E7741" w14:textId="77777777" w:rsidR="0014171F" w:rsidRDefault="00000000">
            <w:pPr>
              <w:spacing w:after="60"/>
            </w:pPr>
            <w:r>
              <w:rPr>
                <w:b/>
                <w:bCs/>
                <w:sz w:val="20"/>
                <w:szCs w:val="20"/>
              </w:rPr>
              <w:t>Media Supply Chain Evolution</w:t>
            </w:r>
          </w:p>
        </w:tc>
        <w:tc>
          <w:tcPr>
            <w:tcW w:w="6000" w:type="dxa"/>
            <w:tcMar>
              <w:top w:w="100" w:type="dxa"/>
              <w:left w:w="110" w:type="dxa"/>
              <w:bottom w:w="100" w:type="dxa"/>
              <w:right w:w="110" w:type="dxa"/>
            </w:tcMar>
          </w:tcPr>
          <w:p w14:paraId="41E1E868" w14:textId="77777777" w:rsidR="0014171F" w:rsidRDefault="00000000">
            <w:pPr>
              <w:spacing w:after="60"/>
            </w:pPr>
            <w:r>
              <w:rPr>
                <w:sz w:val="20"/>
                <w:szCs w:val="20"/>
              </w:rPr>
              <w:t>From vertically integrated studios to decentralized streaming and gaming pipelines — and the “Complexity Tax” of managing a fragmented distribution landscape.</w:t>
            </w:r>
          </w:p>
        </w:tc>
      </w:tr>
      <w:tr w:rsidR="0014171F" w14:paraId="0DDB8DFC" w14:textId="77777777">
        <w:tblPrEx>
          <w:tblCellMar>
            <w:top w:w="0" w:type="dxa"/>
            <w:bottom w:w="0" w:type="dxa"/>
          </w:tblCellMar>
        </w:tblPrEx>
        <w:tc>
          <w:tcPr>
            <w:tcW w:w="700" w:type="dxa"/>
            <w:tcMar>
              <w:top w:w="100" w:type="dxa"/>
              <w:left w:w="110" w:type="dxa"/>
              <w:bottom w:w="100" w:type="dxa"/>
              <w:right w:w="110" w:type="dxa"/>
            </w:tcMar>
          </w:tcPr>
          <w:p w14:paraId="47A59FEB" w14:textId="77777777" w:rsidR="0014171F" w:rsidRDefault="00000000">
            <w:pPr>
              <w:spacing w:after="60"/>
            </w:pPr>
            <w:r>
              <w:rPr>
                <w:b/>
                <w:bCs/>
                <w:color w:val="B8752F"/>
                <w:sz w:val="20"/>
                <w:szCs w:val="20"/>
              </w:rPr>
              <w:t>03</w:t>
            </w:r>
          </w:p>
        </w:tc>
        <w:tc>
          <w:tcPr>
            <w:tcW w:w="2660" w:type="dxa"/>
            <w:tcMar>
              <w:top w:w="100" w:type="dxa"/>
              <w:left w:w="110" w:type="dxa"/>
              <w:bottom w:w="100" w:type="dxa"/>
              <w:right w:w="110" w:type="dxa"/>
            </w:tcMar>
          </w:tcPr>
          <w:p w14:paraId="37F4C347" w14:textId="77777777" w:rsidR="0014171F" w:rsidRDefault="00000000">
            <w:pPr>
              <w:spacing w:after="60"/>
            </w:pPr>
            <w:r>
              <w:rPr>
                <w:b/>
                <w:bCs/>
                <w:sz w:val="20"/>
                <w:szCs w:val="20"/>
              </w:rPr>
              <w:t>Creator Evolution</w:t>
            </w:r>
          </w:p>
        </w:tc>
        <w:tc>
          <w:tcPr>
            <w:tcW w:w="6000" w:type="dxa"/>
            <w:tcMar>
              <w:top w:w="100" w:type="dxa"/>
              <w:left w:w="110" w:type="dxa"/>
              <w:bottom w:w="100" w:type="dxa"/>
              <w:right w:w="110" w:type="dxa"/>
            </w:tcMar>
          </w:tcPr>
          <w:p w14:paraId="43F44A84" w14:textId="77777777" w:rsidR="0014171F" w:rsidRDefault="00000000">
            <w:pPr>
              <w:spacing w:after="60"/>
            </w:pPr>
            <w:r>
              <w:rPr>
                <w:sz w:val="20"/>
                <w:szCs w:val="20"/>
              </w:rPr>
              <w:t>From the studio-controlled Contract Player system to the platform-agnostic Sovereign Creator, and the early emergence of the Synthetic Idol.</w:t>
            </w:r>
          </w:p>
        </w:tc>
      </w:tr>
      <w:tr w:rsidR="0014171F" w14:paraId="2EE3FE9D" w14:textId="77777777">
        <w:tblPrEx>
          <w:tblCellMar>
            <w:top w:w="0" w:type="dxa"/>
            <w:bottom w:w="0" w:type="dxa"/>
          </w:tblCellMar>
        </w:tblPrEx>
        <w:tc>
          <w:tcPr>
            <w:tcW w:w="700" w:type="dxa"/>
            <w:tcMar>
              <w:top w:w="100" w:type="dxa"/>
              <w:left w:w="110" w:type="dxa"/>
              <w:bottom w:w="100" w:type="dxa"/>
              <w:right w:w="110" w:type="dxa"/>
            </w:tcMar>
          </w:tcPr>
          <w:p w14:paraId="3AE2C2D5" w14:textId="77777777" w:rsidR="0014171F" w:rsidRDefault="00000000">
            <w:pPr>
              <w:spacing w:after="60"/>
            </w:pPr>
            <w:r>
              <w:rPr>
                <w:b/>
                <w:bCs/>
                <w:color w:val="B8752F"/>
                <w:sz w:val="20"/>
                <w:szCs w:val="20"/>
              </w:rPr>
              <w:t>04</w:t>
            </w:r>
          </w:p>
        </w:tc>
        <w:tc>
          <w:tcPr>
            <w:tcW w:w="2660" w:type="dxa"/>
            <w:tcMar>
              <w:top w:w="100" w:type="dxa"/>
              <w:left w:w="110" w:type="dxa"/>
              <w:bottom w:w="100" w:type="dxa"/>
              <w:right w:w="110" w:type="dxa"/>
            </w:tcMar>
          </w:tcPr>
          <w:p w14:paraId="28592764" w14:textId="77777777" w:rsidR="0014171F" w:rsidRDefault="00000000">
            <w:pPr>
              <w:spacing w:after="60"/>
            </w:pPr>
            <w:r>
              <w:rPr>
                <w:b/>
                <w:bCs/>
                <w:sz w:val="20"/>
                <w:szCs w:val="20"/>
              </w:rPr>
              <w:t>Content Evolution</w:t>
            </w:r>
          </w:p>
        </w:tc>
        <w:tc>
          <w:tcPr>
            <w:tcW w:w="6000" w:type="dxa"/>
            <w:tcMar>
              <w:top w:w="100" w:type="dxa"/>
              <w:left w:w="110" w:type="dxa"/>
              <w:bottom w:w="100" w:type="dxa"/>
              <w:right w:w="110" w:type="dxa"/>
            </w:tcMar>
          </w:tcPr>
          <w:p w14:paraId="7F490223" w14:textId="77777777" w:rsidR="0014171F" w:rsidRDefault="00000000">
            <w:pPr>
              <w:spacing w:after="60"/>
            </w:pPr>
            <w:r>
              <w:rPr>
                <w:sz w:val="20"/>
                <w:szCs w:val="20"/>
              </w:rPr>
              <w:t>From the feature film as a fixed, finished event to a composable, adaptive experience shaped by user co-creation and real-time narrative adjustment.</w:t>
            </w:r>
          </w:p>
        </w:tc>
      </w:tr>
      <w:tr w:rsidR="0014171F" w14:paraId="378553CD" w14:textId="77777777">
        <w:tblPrEx>
          <w:tblCellMar>
            <w:top w:w="0" w:type="dxa"/>
            <w:bottom w:w="0" w:type="dxa"/>
          </w:tblCellMar>
        </w:tblPrEx>
        <w:tc>
          <w:tcPr>
            <w:tcW w:w="700" w:type="dxa"/>
            <w:tcMar>
              <w:top w:w="100" w:type="dxa"/>
              <w:left w:w="110" w:type="dxa"/>
              <w:bottom w:w="100" w:type="dxa"/>
              <w:right w:w="110" w:type="dxa"/>
            </w:tcMar>
          </w:tcPr>
          <w:p w14:paraId="7BAB9749" w14:textId="77777777" w:rsidR="0014171F" w:rsidRDefault="00000000">
            <w:pPr>
              <w:spacing w:after="60"/>
            </w:pPr>
            <w:r>
              <w:rPr>
                <w:b/>
                <w:bCs/>
                <w:color w:val="B8752F"/>
                <w:sz w:val="20"/>
                <w:szCs w:val="20"/>
              </w:rPr>
              <w:t>05</w:t>
            </w:r>
          </w:p>
        </w:tc>
        <w:tc>
          <w:tcPr>
            <w:tcW w:w="2660" w:type="dxa"/>
            <w:tcMar>
              <w:top w:w="100" w:type="dxa"/>
              <w:left w:w="110" w:type="dxa"/>
              <w:bottom w:w="100" w:type="dxa"/>
              <w:right w:w="110" w:type="dxa"/>
            </w:tcMar>
          </w:tcPr>
          <w:p w14:paraId="00D7CBF3" w14:textId="77777777" w:rsidR="0014171F" w:rsidRDefault="00000000">
            <w:pPr>
              <w:spacing w:after="60"/>
            </w:pPr>
            <w:r>
              <w:rPr>
                <w:b/>
                <w:bCs/>
                <w:sz w:val="20"/>
                <w:szCs w:val="20"/>
              </w:rPr>
              <w:t>Commercial Evolution</w:t>
            </w:r>
          </w:p>
        </w:tc>
        <w:tc>
          <w:tcPr>
            <w:tcW w:w="6000" w:type="dxa"/>
            <w:tcMar>
              <w:top w:w="100" w:type="dxa"/>
              <w:left w:w="110" w:type="dxa"/>
              <w:bottom w:w="100" w:type="dxa"/>
              <w:right w:w="110" w:type="dxa"/>
            </w:tcMar>
          </w:tcPr>
          <w:p w14:paraId="71B7E97D" w14:textId="77777777" w:rsidR="0014171F" w:rsidRDefault="00000000">
            <w:pPr>
              <w:spacing w:after="60"/>
            </w:pPr>
            <w:r>
              <w:rPr>
                <w:sz w:val="20"/>
                <w:szCs w:val="20"/>
              </w:rPr>
              <w:t>From mid-century broadcast syndication through the subscription era to AI-driven advertising designed to remove friction between story and sale.</w:t>
            </w:r>
          </w:p>
        </w:tc>
      </w:tr>
      <w:tr w:rsidR="0014171F" w14:paraId="46AFBD00" w14:textId="77777777">
        <w:tblPrEx>
          <w:tblCellMar>
            <w:top w:w="0" w:type="dxa"/>
            <w:bottom w:w="0" w:type="dxa"/>
          </w:tblCellMar>
        </w:tblPrEx>
        <w:tc>
          <w:tcPr>
            <w:tcW w:w="700" w:type="dxa"/>
            <w:tcMar>
              <w:top w:w="100" w:type="dxa"/>
              <w:left w:w="110" w:type="dxa"/>
              <w:bottom w:w="100" w:type="dxa"/>
              <w:right w:w="110" w:type="dxa"/>
            </w:tcMar>
          </w:tcPr>
          <w:p w14:paraId="10ECBA5D" w14:textId="77777777" w:rsidR="0014171F" w:rsidRDefault="00000000">
            <w:pPr>
              <w:spacing w:after="60"/>
            </w:pPr>
            <w:r>
              <w:rPr>
                <w:b/>
                <w:bCs/>
                <w:color w:val="B8752F"/>
                <w:sz w:val="20"/>
                <w:szCs w:val="20"/>
              </w:rPr>
              <w:lastRenderedPageBreak/>
              <w:t>06</w:t>
            </w:r>
          </w:p>
        </w:tc>
        <w:tc>
          <w:tcPr>
            <w:tcW w:w="2660" w:type="dxa"/>
            <w:tcMar>
              <w:top w:w="100" w:type="dxa"/>
              <w:left w:w="110" w:type="dxa"/>
              <w:bottom w:w="100" w:type="dxa"/>
              <w:right w:w="110" w:type="dxa"/>
            </w:tcMar>
          </w:tcPr>
          <w:p w14:paraId="64B641EC" w14:textId="77777777" w:rsidR="0014171F" w:rsidRDefault="00000000">
            <w:pPr>
              <w:spacing w:after="60"/>
            </w:pPr>
            <w:r>
              <w:rPr>
                <w:b/>
                <w:bCs/>
                <w:sz w:val="20"/>
                <w:szCs w:val="20"/>
              </w:rPr>
              <w:t>Audio Evolution</w:t>
            </w:r>
          </w:p>
        </w:tc>
        <w:tc>
          <w:tcPr>
            <w:tcW w:w="6000" w:type="dxa"/>
            <w:tcMar>
              <w:top w:w="100" w:type="dxa"/>
              <w:left w:w="110" w:type="dxa"/>
              <w:bottom w:w="100" w:type="dxa"/>
              <w:right w:w="110" w:type="dxa"/>
            </w:tcMar>
          </w:tcPr>
          <w:p w14:paraId="3F0BE728" w14:textId="77777777" w:rsidR="0014171F" w:rsidRDefault="00000000">
            <w:pPr>
              <w:spacing w:after="60"/>
            </w:pPr>
            <w:r>
              <w:rPr>
                <w:sz w:val="20"/>
                <w:szCs w:val="20"/>
              </w:rPr>
              <w:t>From synchronized sound to immersive, object-based, and eventually adaptive soundscapes that change how audiences experience story and presence.</w:t>
            </w:r>
          </w:p>
        </w:tc>
      </w:tr>
      <w:tr w:rsidR="0014171F" w14:paraId="5D6685E4" w14:textId="77777777">
        <w:tblPrEx>
          <w:tblCellMar>
            <w:top w:w="0" w:type="dxa"/>
            <w:bottom w:w="0" w:type="dxa"/>
          </w:tblCellMar>
        </w:tblPrEx>
        <w:tc>
          <w:tcPr>
            <w:tcW w:w="700" w:type="dxa"/>
            <w:tcMar>
              <w:top w:w="100" w:type="dxa"/>
              <w:left w:w="110" w:type="dxa"/>
              <w:bottom w:w="100" w:type="dxa"/>
              <w:right w:w="110" w:type="dxa"/>
            </w:tcMar>
          </w:tcPr>
          <w:p w14:paraId="5EF2902D" w14:textId="77777777" w:rsidR="0014171F" w:rsidRDefault="00000000">
            <w:pPr>
              <w:spacing w:after="60"/>
            </w:pPr>
            <w:r>
              <w:rPr>
                <w:b/>
                <w:bCs/>
                <w:color w:val="B8752F"/>
                <w:sz w:val="20"/>
                <w:szCs w:val="20"/>
              </w:rPr>
              <w:t>07</w:t>
            </w:r>
          </w:p>
        </w:tc>
        <w:tc>
          <w:tcPr>
            <w:tcW w:w="2660" w:type="dxa"/>
            <w:tcMar>
              <w:top w:w="100" w:type="dxa"/>
              <w:left w:w="110" w:type="dxa"/>
              <w:bottom w:w="100" w:type="dxa"/>
              <w:right w:w="110" w:type="dxa"/>
            </w:tcMar>
          </w:tcPr>
          <w:p w14:paraId="1A91ECC3" w14:textId="77777777" w:rsidR="0014171F" w:rsidRDefault="00000000">
            <w:pPr>
              <w:spacing w:after="60"/>
            </w:pPr>
            <w:r>
              <w:rPr>
                <w:b/>
                <w:bCs/>
                <w:sz w:val="20"/>
                <w:szCs w:val="20"/>
              </w:rPr>
              <w:t>VFX Evolution</w:t>
            </w:r>
          </w:p>
        </w:tc>
        <w:tc>
          <w:tcPr>
            <w:tcW w:w="6000" w:type="dxa"/>
            <w:tcMar>
              <w:top w:w="100" w:type="dxa"/>
              <w:left w:w="110" w:type="dxa"/>
              <w:bottom w:w="100" w:type="dxa"/>
              <w:right w:w="110" w:type="dxa"/>
            </w:tcMar>
          </w:tcPr>
          <w:p w14:paraId="6B34A338" w14:textId="77777777" w:rsidR="0014171F" w:rsidRDefault="00000000">
            <w:pPr>
              <w:spacing w:after="60"/>
            </w:pPr>
            <w:r>
              <w:rPr>
                <w:sz w:val="20"/>
                <w:szCs w:val="20"/>
              </w:rPr>
              <w:t>From Georges Méliès' in-camera illusions to today's virtual-production factories, and on to prompt-based, generative worlds.</w:t>
            </w:r>
          </w:p>
        </w:tc>
      </w:tr>
      <w:tr w:rsidR="0014171F" w14:paraId="059B7E5C" w14:textId="77777777">
        <w:tblPrEx>
          <w:tblCellMar>
            <w:top w:w="0" w:type="dxa"/>
            <w:bottom w:w="0" w:type="dxa"/>
          </w:tblCellMar>
        </w:tblPrEx>
        <w:tc>
          <w:tcPr>
            <w:tcW w:w="700" w:type="dxa"/>
            <w:tcMar>
              <w:top w:w="100" w:type="dxa"/>
              <w:left w:w="110" w:type="dxa"/>
              <w:bottom w:w="100" w:type="dxa"/>
              <w:right w:w="110" w:type="dxa"/>
            </w:tcMar>
          </w:tcPr>
          <w:p w14:paraId="412B60E8" w14:textId="77777777" w:rsidR="0014171F" w:rsidRDefault="00000000">
            <w:pPr>
              <w:spacing w:after="60"/>
            </w:pPr>
            <w:r>
              <w:rPr>
                <w:b/>
                <w:bCs/>
                <w:color w:val="B8752F"/>
                <w:sz w:val="20"/>
                <w:szCs w:val="20"/>
              </w:rPr>
              <w:t>08</w:t>
            </w:r>
          </w:p>
        </w:tc>
        <w:tc>
          <w:tcPr>
            <w:tcW w:w="2660" w:type="dxa"/>
            <w:tcMar>
              <w:top w:w="100" w:type="dxa"/>
              <w:left w:w="110" w:type="dxa"/>
              <w:bottom w:w="100" w:type="dxa"/>
              <w:right w:w="110" w:type="dxa"/>
            </w:tcMar>
          </w:tcPr>
          <w:p w14:paraId="38317F65" w14:textId="77777777" w:rsidR="0014171F" w:rsidRDefault="00000000">
            <w:pPr>
              <w:spacing w:after="60"/>
            </w:pPr>
            <w:r>
              <w:rPr>
                <w:b/>
                <w:bCs/>
                <w:sz w:val="20"/>
                <w:szCs w:val="20"/>
              </w:rPr>
              <w:t>Animation Evolution</w:t>
            </w:r>
          </w:p>
        </w:tc>
        <w:tc>
          <w:tcPr>
            <w:tcW w:w="6000" w:type="dxa"/>
            <w:tcMar>
              <w:top w:w="100" w:type="dxa"/>
              <w:left w:w="110" w:type="dxa"/>
              <w:bottom w:w="100" w:type="dxa"/>
              <w:right w:w="110" w:type="dxa"/>
            </w:tcMar>
          </w:tcPr>
          <w:p w14:paraId="5DF11ABC" w14:textId="77777777" w:rsidR="0014171F" w:rsidRDefault="00000000">
            <w:pPr>
              <w:spacing w:after="60"/>
            </w:pPr>
            <w:r>
              <w:rPr>
                <w:sz w:val="20"/>
                <w:szCs w:val="20"/>
              </w:rPr>
              <w:t>From theater-filler shorts to the dominant visual language of global digital media — closing on the legal and ethical frontiers of generative animation.</w:t>
            </w:r>
          </w:p>
        </w:tc>
      </w:tr>
    </w:tbl>
    <w:p w14:paraId="394B3DA7" w14:textId="77777777" w:rsidR="0014171F" w:rsidRDefault="0014171F">
      <w:pPr>
        <w:spacing w:before="200"/>
      </w:pPr>
    </w:p>
    <w:p w14:paraId="16890C48" w14:textId="77777777" w:rsidR="0014171F" w:rsidRDefault="00000000">
      <w:pPr>
        <w:pStyle w:val="Heading1"/>
        <w:pBdr>
          <w:bottom w:val="single" w:sz="6" w:space="4" w:color="B8752F"/>
        </w:pBdr>
        <w:spacing w:before="420" w:after="160"/>
      </w:pPr>
      <w:r>
        <w:rPr>
          <w:b/>
          <w:bCs/>
          <w:color w:val="1F2A37"/>
          <w:sz w:val="26"/>
          <w:szCs w:val="26"/>
        </w:rPr>
        <w:t>RECOMMENDED NEXT STEPS</w:t>
      </w:r>
    </w:p>
    <w:p w14:paraId="22A8ED1E" w14:textId="77777777" w:rsidR="0014171F" w:rsidRDefault="00000000">
      <w:pPr>
        <w:pStyle w:val="ListParagraph"/>
        <w:numPr>
          <w:ilvl w:val="0"/>
          <w:numId w:val="1"/>
        </w:numPr>
        <w:spacing w:after="120" w:line="276" w:lineRule="auto"/>
      </w:pPr>
      <w:r>
        <w:rPr>
          <w:b/>
          <w:bCs/>
        </w:rPr>
        <w:t xml:space="preserve">Confirm the guest slate: </w:t>
      </w:r>
      <w:r>
        <w:t>historical and operating voices for each of the eight episodes, prioritizing pairings with pre-existing points of view on their episode's forecast question.</w:t>
      </w:r>
    </w:p>
    <w:p w14:paraId="459D4BE6" w14:textId="77777777" w:rsidR="0014171F" w:rsidRDefault="00000000">
      <w:pPr>
        <w:pStyle w:val="ListParagraph"/>
        <w:numPr>
          <w:ilvl w:val="0"/>
          <w:numId w:val="1"/>
        </w:numPr>
        <w:spacing w:after="120" w:line="276" w:lineRule="auto"/>
      </w:pPr>
      <w:r>
        <w:rPr>
          <w:b/>
          <w:bCs/>
        </w:rPr>
        <w:t xml:space="preserve">Lock a production calendar: </w:t>
      </w:r>
      <w:r>
        <w:t>recording dates that allow the series to launch alongside DEG's 30th anniversary programming.</w:t>
      </w:r>
    </w:p>
    <w:p w14:paraId="3E7592A4" w14:textId="77777777" w:rsidR="0014171F" w:rsidRDefault="00000000">
      <w:pPr>
        <w:pStyle w:val="ListParagraph"/>
        <w:numPr>
          <w:ilvl w:val="0"/>
          <w:numId w:val="1"/>
        </w:numPr>
        <w:spacing w:after="120" w:line="276" w:lineRule="auto"/>
      </w:pPr>
      <w:r>
        <w:rPr>
          <w:b/>
          <w:bCs/>
        </w:rPr>
        <w:t xml:space="preserve">Finalize the prediction-market platform: </w:t>
      </w:r>
      <w:r>
        <w:t>the companion site where audiences cast their Community Forecast and join each episode's discussion, so it is live before Episode 01 publishes.</w:t>
      </w:r>
    </w:p>
    <w:p w14:paraId="3F87807C" w14:textId="77777777" w:rsidR="0014171F" w:rsidRDefault="00000000">
      <w:pPr>
        <w:pStyle w:val="ListParagraph"/>
        <w:numPr>
          <w:ilvl w:val="0"/>
          <w:numId w:val="1"/>
        </w:numPr>
        <w:spacing w:after="120" w:line="276" w:lineRule="auto"/>
      </w:pPr>
      <w:r>
        <w:rPr>
          <w:b/>
          <w:bCs/>
        </w:rPr>
        <w:t xml:space="preserve">Define the calibration cadence: </w:t>
      </w:r>
      <w:r>
        <w:t>who owns collecting outcome data for each forecast question and scheduling the Market Update segment that grades it.</w:t>
      </w:r>
    </w:p>
    <w:sectPr w:rsidR="0014171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5AE47F" w14:textId="77777777" w:rsidR="006F3DE5" w:rsidRDefault="006F3DE5">
      <w:r>
        <w:separator/>
      </w:r>
    </w:p>
  </w:endnote>
  <w:endnote w:type="continuationSeparator" w:id="0">
    <w:p w14:paraId="58955340" w14:textId="77777777" w:rsidR="006F3DE5" w:rsidRDefault="006F3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A1525B" w14:textId="77777777" w:rsidR="0014171F" w:rsidRDefault="00000000">
    <w:pPr>
      <w:pBdr>
        <w:top w:val="single" w:sz="4" w:space="6" w:color="C9C2B4"/>
      </w:pBdr>
      <w:jc w:val="center"/>
    </w:pPr>
    <w:r>
      <w:rPr>
        <w:color w:val="776C5D"/>
        <w:sz w:val="16"/>
        <w:szCs w:val="16"/>
      </w:rPr>
      <w:t xml:space="preserve">Hollywood Evolves — Executive Brief   ·   Draft for internal review   ·   Page </w:t>
    </w:r>
    <w:r>
      <w:rPr>
        <w:color w:val="776C5D"/>
        <w:sz w:val="16"/>
        <w:szCs w:val="16"/>
      </w:rPr>
      <w:fldChar w:fldCharType="begin"/>
    </w:r>
    <w:r>
      <w:rPr>
        <w:color w:val="776C5D"/>
        <w:sz w:val="16"/>
        <w:szCs w:val="16"/>
      </w:rPr>
      <w:instrText>PAGE</w:instrText>
    </w:r>
    <w:r>
      <w:rPr>
        <w:color w:val="776C5D"/>
        <w:sz w:val="16"/>
        <w:szCs w:val="16"/>
      </w:rPr>
      <w:fldChar w:fldCharType="separate"/>
    </w:r>
    <w:r w:rsidR="004827B3">
      <w:rPr>
        <w:noProof/>
        <w:color w:val="776C5D"/>
        <w:sz w:val="16"/>
        <w:szCs w:val="16"/>
      </w:rPr>
      <w:t>1</w:t>
    </w:r>
    <w:r>
      <w:rPr>
        <w:color w:val="776C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5B1606" w14:textId="77777777" w:rsidR="006F3DE5" w:rsidRDefault="006F3DE5">
      <w:r>
        <w:separator/>
      </w:r>
    </w:p>
  </w:footnote>
  <w:footnote w:type="continuationSeparator" w:id="0">
    <w:p w14:paraId="4E06BAB9" w14:textId="77777777" w:rsidR="006F3DE5" w:rsidRDefault="006F3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B40D1E"/>
    <w:multiLevelType w:val="hybridMultilevel"/>
    <w:tmpl w:val="D16EE2A2"/>
    <w:lvl w:ilvl="0" w:tplc="24A2D750">
      <w:start w:val="1"/>
      <w:numFmt w:val="bullet"/>
      <w:lvlText w:val="●"/>
      <w:lvlJc w:val="left"/>
      <w:pPr>
        <w:ind w:left="720" w:hanging="360"/>
      </w:pPr>
    </w:lvl>
    <w:lvl w:ilvl="1" w:tplc="8FC6275A">
      <w:start w:val="1"/>
      <w:numFmt w:val="bullet"/>
      <w:lvlText w:val="○"/>
      <w:lvlJc w:val="left"/>
      <w:pPr>
        <w:ind w:left="1440" w:hanging="360"/>
      </w:pPr>
    </w:lvl>
    <w:lvl w:ilvl="2" w:tplc="1598C820">
      <w:start w:val="1"/>
      <w:numFmt w:val="bullet"/>
      <w:lvlText w:val="■"/>
      <w:lvlJc w:val="left"/>
      <w:pPr>
        <w:ind w:left="2160" w:hanging="360"/>
      </w:pPr>
    </w:lvl>
    <w:lvl w:ilvl="3" w:tplc="08C49DD2">
      <w:start w:val="1"/>
      <w:numFmt w:val="bullet"/>
      <w:lvlText w:val="●"/>
      <w:lvlJc w:val="left"/>
      <w:pPr>
        <w:ind w:left="2880" w:hanging="360"/>
      </w:pPr>
    </w:lvl>
    <w:lvl w:ilvl="4" w:tplc="2C400DBE">
      <w:start w:val="1"/>
      <w:numFmt w:val="bullet"/>
      <w:lvlText w:val="○"/>
      <w:lvlJc w:val="left"/>
      <w:pPr>
        <w:ind w:left="3600" w:hanging="360"/>
      </w:pPr>
    </w:lvl>
    <w:lvl w:ilvl="5" w:tplc="A288CC7C">
      <w:start w:val="1"/>
      <w:numFmt w:val="bullet"/>
      <w:lvlText w:val="■"/>
      <w:lvlJc w:val="left"/>
      <w:pPr>
        <w:ind w:left="4320" w:hanging="360"/>
      </w:pPr>
    </w:lvl>
    <w:lvl w:ilvl="6" w:tplc="2C368A72">
      <w:start w:val="1"/>
      <w:numFmt w:val="bullet"/>
      <w:lvlText w:val="●"/>
      <w:lvlJc w:val="left"/>
      <w:pPr>
        <w:ind w:left="5040" w:hanging="360"/>
      </w:pPr>
    </w:lvl>
    <w:lvl w:ilvl="7" w:tplc="B8F04246">
      <w:start w:val="1"/>
      <w:numFmt w:val="bullet"/>
      <w:lvlText w:val="●"/>
      <w:lvlJc w:val="left"/>
      <w:pPr>
        <w:ind w:left="5760" w:hanging="360"/>
      </w:pPr>
    </w:lvl>
    <w:lvl w:ilvl="8" w:tplc="EF48476C">
      <w:start w:val="1"/>
      <w:numFmt w:val="bullet"/>
      <w:lvlText w:val="●"/>
      <w:lvlJc w:val="left"/>
      <w:pPr>
        <w:ind w:left="6480" w:hanging="360"/>
      </w:pPr>
    </w:lvl>
  </w:abstractNum>
  <w:num w:numId="1" w16cid:durableId="52567948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71F"/>
    <w:rsid w:val="000E4F64"/>
    <w:rsid w:val="0014171F"/>
    <w:rsid w:val="004827B3"/>
    <w:rsid w:val="006F3DE5"/>
    <w:rsid w:val="00721715"/>
    <w:rsid w:val="00E43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27970"/>
  <w15:docId w15:val="{38FABC68-4CAC-044D-A10A-4C9F18828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1066</Words>
  <Characters>6652</Characters>
  <Application>Microsoft Office Word</Application>
  <DocSecurity>0</DocSecurity>
  <Lines>141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McPherson</cp:lastModifiedBy>
  <cp:revision>2</cp:revision>
  <dcterms:created xsi:type="dcterms:W3CDTF">2026-08-27T17:28:00Z</dcterms:created>
  <dcterms:modified xsi:type="dcterms:W3CDTF">2026-08-27T17:28:00Z</dcterms:modified>
</cp:coreProperties>
</file>