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UltraLife Token as a Stablecoin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adoption of the ultralife token increases and it becomes the primary medium of exchange for transactions related to goods, services, and labor within this ecosystem, it will indeed exert stabilizing forces on its own value, potentially approaching the characteristics of a stablecoin </w:t>
      </w:r>
      <w:r w:rsidDel="00000000" w:rsidR="00000000" w:rsidRPr="00000000">
        <w:rPr>
          <w:i w:val="1"/>
          <w:rtl w:val="0"/>
        </w:rPr>
        <w:t xml:space="preserve">naturally</w:t>
      </w:r>
      <w:r w:rsidDel="00000000" w:rsidR="00000000" w:rsidRPr="00000000">
        <w:rPr>
          <w:rtl w:val="0"/>
        </w:rPr>
        <w:t xml:space="preserve">, though not in the traditional sense of being pegged to a fiat currency.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why and how this stabilization can occur: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Mechanism of Natural Stabilization: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Utility and Demand:</w:t>
      </w:r>
      <w:r w:rsidDel="00000000" w:rsidR="00000000" w:rsidRPr="00000000">
        <w:rPr>
          <w:rtl w:val="0"/>
        </w:rPr>
        <w:t xml:space="preserve"> As more goods, services, and labor are transacted using ultralife tokens, the demand for the token increases. This increased demand creates upward pressure on the price.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Effect:</w:t>
      </w:r>
      <w:r w:rsidDel="00000000" w:rsidR="00000000" w:rsidRPr="00000000">
        <w:rPr>
          <w:rtl w:val="0"/>
        </w:rPr>
        <w:t xml:space="preserve"> As the ecosystem grows, more participants are incentivized to join, further increasing demand and utility. This creates a positive feedback loop, strengthening the network effect.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Real-World Value Backing:</w:t>
      </w:r>
      <w:r w:rsidDel="00000000" w:rsidR="00000000" w:rsidRPr="00000000">
        <w:rPr>
          <w:rtl w:val="0"/>
        </w:rPr>
        <w:t xml:space="preserve"> Unlike many speculative cryptocurrencies, the ultralife token is directly tied to real-world economic activity: the exchange of goods, services, and labor. This "real-world value backing" provides a fundamental floor to its value. The more economic activity occurs within the ecosystem, the stronger this backing becomes.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Volatility from Speculation:</w:t>
      </w:r>
      <w:r w:rsidDel="00000000" w:rsidR="00000000" w:rsidRPr="00000000">
        <w:rPr>
          <w:rtl w:val="0"/>
        </w:rPr>
        <w:t xml:space="preserve"> As the token's primary use case becomes transactional rather than speculative, the influence of speculative trading on its price decreases. This reduces volatility.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Data-Driven Price Discovery:</w:t>
      </w:r>
      <w:r w:rsidDel="00000000" w:rsidR="00000000" w:rsidRPr="00000000">
        <w:rPr>
          <w:rtl w:val="0"/>
        </w:rPr>
        <w:t xml:space="preserve"> The on-chain data about goods, services, and labor provides valuable information for price discovery. This data can help establish a more accurate and stable valuation for the ultralife token based on the actual economic activity within the ecosystem.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it Differs from Traditional Stablecoins: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stablecoins are usually pegged to a fiat currency (like the USD) through various mechanisms (e.g., collateralization, algorithmic stabilization). The ultralife token's stabilization is different:</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Fiat Peg:</w:t>
      </w:r>
      <w:r w:rsidDel="00000000" w:rsidR="00000000" w:rsidRPr="00000000">
        <w:rPr>
          <w:rtl w:val="0"/>
        </w:rPr>
        <w:t xml:space="preserve"> It's not pegged to any fiat currency. Its value is derived from the economic activity within its own ecosystem.</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Decentralized Stabilization:</w:t>
      </w:r>
      <w:r w:rsidDel="00000000" w:rsidR="00000000" w:rsidRPr="00000000">
        <w:rPr>
          <w:rtl w:val="0"/>
        </w:rPr>
        <w:t xml:space="preserve"> The stabilization is a natural outcome of market forces within the ecosystem, rather than being managed by a central entity or algorithm.</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Transparency and Auditability:</w:t>
      </w:r>
      <w:r w:rsidDel="00000000" w:rsidR="00000000" w:rsidRPr="00000000">
        <w:rPr>
          <w:rtl w:val="0"/>
        </w:rPr>
        <w:t xml:space="preserve"> The on-chain data provides complete transparency and auditability of the factors influencing the token's value.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Implications: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Price Stability:</w:t>
      </w:r>
      <w:r w:rsidDel="00000000" w:rsidR="00000000" w:rsidRPr="00000000">
        <w:rPr>
          <w:rtl w:val="0"/>
        </w:rPr>
        <w:t xml:space="preserve"> The natural stabilization of the ultralife token makes it more suitable for everyday transactions. Participants can have more confidence in its value, reducing the risk of price fluctuations.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Growth:</w:t>
      </w:r>
      <w:r w:rsidDel="00000000" w:rsidR="00000000" w:rsidRPr="00000000">
        <w:rPr>
          <w:rtl w:val="0"/>
        </w:rPr>
        <w:t xml:space="preserve"> Price stability fosters economic growth within the ecosystem by reducing uncertainty and encouraging participation.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as a Public Good:</w:t>
      </w:r>
      <w:r w:rsidDel="00000000" w:rsidR="00000000" w:rsidRPr="00000000">
        <w:rPr>
          <w:rtl w:val="0"/>
        </w:rPr>
        <w:t xml:space="preserve"> The on-chain data on goods, services, and labor becomes a valuable public good that can be used for various purposes, such as economic analysis, market research, and policy development.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Important Considerations: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Adoption Rate:</w:t>
      </w:r>
      <w:r w:rsidDel="00000000" w:rsidR="00000000" w:rsidRPr="00000000">
        <w:rPr>
          <w:rtl w:val="0"/>
        </w:rPr>
        <w:t xml:space="preserve"> The stabilization effect depends on achieving a critical mass of adoption. In the early stages, the token's value may still be volatile.</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Ecosystem Health:</w:t>
      </w:r>
      <w:r w:rsidDel="00000000" w:rsidR="00000000" w:rsidRPr="00000000">
        <w:rPr>
          <w:rtl w:val="0"/>
        </w:rPr>
        <w:t xml:space="preserve"> The health and growth of the ecosystem are essential for maintaining the token's value. Factors such as user adoption, transaction volume, and data quality will all play a role.</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External Market Forces:</w:t>
      </w:r>
      <w:r w:rsidDel="00000000" w:rsidR="00000000" w:rsidRPr="00000000">
        <w:rPr>
          <w:rtl w:val="0"/>
        </w:rPr>
        <w:t xml:space="preserve"> While the internal dynamics of the ecosystem will exert stabilizing forces, external market forces (e.g., changes in the overall cryptocurrency market) can still have some influence on the token's value.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Conclusion: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focusing on real-world utility and driving adoption within a robust ecosystem, the ultralife token has the potential to achieve a form of natural price stability. This makes it a more suitable medium of exchange for transactions related to goods, services, and labor, while also providing valuable data for economic analysis and promoting sustainable practices. This is a powerful concept that distinguishes it from traditional stablecoins and other cryptocurrencies.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