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1F3A5F"/>
          <w:sz w:val="48"/>
          <w:szCs w:val="48"/>
        </w:rPr>
        <w:t xml:space="preserve">Plumas County Herbicide Map</w:t>
      </w:r>
    </w:p>
    <w:p>
      <w:pPr>
        <w:spacing w:after="40"/>
      </w:pPr>
      <w:r>
        <w:rPr>
          <w:color w:val="2E75B6"/>
          <w:sz w:val="28"/>
          <w:szCs w:val="28"/>
        </w:rPr>
        <w:t xml:space="preserve">Nonprofit Structure, Funding Model &amp; Waterway Testing Plan</w:t>
      </w:r>
    </w:p>
    <w:p>
      <w:pPr>
        <w:spacing w:after="200"/>
      </w:pPr>
      <w:r>
        <w:rPr>
          <w:i/>
          <w:iCs/>
          <w:color w:val="555555"/>
          <w:sz w:val="20"/>
          <w:szCs w:val="20"/>
        </w:rPr>
        <w:t xml:space="preserve">Working framework — June 2026</w:t>
      </w:r>
    </w:p>
    <w:p>
      <w:pPr>
        <w:pBdr>
          <w:bottom w:val="single" w:color="2E75B6" w:sz="8"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7" w:sz="1"/>
              <w:left w:val="single" w:color="2E8B8B" w:sz="18"/>
              <w:bottom w:val="single" w:color="EAF1F7" w:sz="1"/>
              <w:right w:val="single" w:color="EAF1F7" w:sz="1"/>
            </w:tcBorders>
            <w:shd w:fill="EAF1F7" w:val="clear"/>
            <w:tcMar>
              <w:top w:type="dxa" w:w="140"/>
              <w:left w:type="dxa" w:w="200"/>
              <w:bottom w:type="dxa" w:w="140"/>
              <w:right w:type="dxa" w:w="200"/>
            </w:tcMar>
          </w:tcPr>
          <w:p>
            <w:pPr>
              <w:spacing w:after="60"/>
            </w:pPr>
            <w:r>
              <w:rPr>
                <w:b/>
                <w:bCs/>
                <w:color w:val="1F3A5F"/>
                <w:sz w:val="20"/>
                <w:szCs w:val="20"/>
              </w:rPr>
              <w:t xml:space="preserve">Short answer: yes — all of it is doable.</w:t>
            </w:r>
          </w:p>
          <w:p>
            <w:pPr>
              <w:spacing w:after="40"/>
            </w:pPr>
            <w:r>
              <w:rPr>
                <w:color w:val="555555"/>
                <w:sz w:val="20"/>
                <w:szCs w:val="20"/>
              </w:rPr>
              <w:t xml:space="preserve">A nonprofit can run the map, pay its own people transparently for time spent, and direct the rest of donations to water testing — that is a textbook charitable purpose.</w:t>
            </w:r>
          </w:p>
          <w:p>
            <w:pPr>
              <w:spacing w:after="40"/>
            </w:pPr>
            <w:r>
              <w:rPr>
                <w:color w:val="555555"/>
                <w:sz w:val="20"/>
                <w:szCs w:val="20"/>
              </w:rPr>
              <w:t xml:space="preserve">A nonprofit-native donate button (Givebutter or Donorbox) embeds cleanly on the map and issues tax receipts automatically.</w:t>
            </w:r>
          </w:p>
          <w:p>
            <w:pPr>
              <w:spacing w:after="40"/>
            </w:pPr>
            <w:r>
              <w:rPr>
                <w:color w:val="555555"/>
                <w:sz w:val="20"/>
                <w:szCs w:val="20"/>
              </w:rPr>
              <w:t xml:space="preserve">A waterway-testing data layer is straightforward to add technically; the real work is sampling protocol and data quality.</w:t>
            </w:r>
          </w:p>
          <w:p>
            <w:pPr>
              <w:spacing w:after="40"/>
            </w:pPr>
            <w:r>
              <w:rPr>
                <w:color w:val="555555"/>
                <w:sz w:val="20"/>
                <w:szCs w:val="20"/>
              </w:rPr>
              <w:t xml:space="preserve">Note: this is general guidance, not legal or tax advice. Confirm the formation and the “billing our own hours” piece with a nonprofit attorney and a CPA before launch.</w:t>
            </w:r>
          </w:p>
        </w:tc>
      </w:tr>
    </w:tbl>
    <w:p>
      <w:pPr>
        <w:spacing w:after="160"/>
      </w:pPr>
      <w:r>
        <w:t xml:space="preserve"/>
      </w:r>
    </w:p>
    <w:p>
      <w:pPr>
        <w:pStyle w:val="Heading1"/>
      </w:pPr>
      <w:r>
        <w:t xml:space="preserve">1. The Nonprofit</w:t>
      </w:r>
    </w:p>
    <w:p>
      <w:pPr>
        <w:spacing w:after="120" w:line="276"/>
      </w:pPr>
      <w:r>
        <w:t xml:space="preserve">What you are describing is a 501(c)(3) public charity with an environmental and educational mission. “Mapping publicly available herbicide-application data and testing Plumas County waterways to inform the public” fits cleanly under both the environmental and educational exempt purposes the IRS looks for. That charitable classification is also what makes donations tax-deductible and unlocks nonprofit pricing on the donation platforms below.</w:t>
      </w:r>
    </w:p>
    <w:p>
      <w:pPr>
        <w:pStyle w:val="Heading2"/>
      </w:pPr>
      <w:r>
        <w:t xml:space="preserve">Two paths to get there</w:t>
      </w:r>
    </w:p>
    <w:p>
      <w:pPr>
        <w:spacing w:after="120" w:line="276"/>
      </w:pPr>
      <w:r>
        <w:rPr>
          <w:b/>
          <w:bCs/>
        </w:rPr>
        <w:t xml:space="preserve">Path A — Fiscal sponsorship first (fastest to launch). </w:t>
      </w:r>
      <w:r>
        <w:t xml:space="preserve">Find an existing 501(c)(3) — many watershed councils, land trusts, and resource-conservation districts do this — to act as an umbrella. You raise tax-deductible donations immediately under their EIN, skip the IRS application entirely, and prove the concept before committing to your own entity. Sponsors typically charge 5–10% of funds raised. This is the recommended way to “put it out” quickly.</w:t>
      </w:r>
    </w:p>
    <w:p>
      <w:pPr>
        <w:spacing w:after="120" w:line="276"/>
      </w:pPr>
      <w:r>
        <w:rPr>
          <w:b/>
          <w:bCs/>
        </w:rPr>
        <w:t xml:space="preserve">Path B — Form your own entity (full control, more setup). </w:t>
      </w:r>
      <w:r>
        <w:t xml:space="preserve">Incorporate as a California nonprofit public benefit corporation, get an EIN, then apply to the IRS for 501(c)(3) status. Best once the effort has traction and predictable funding. The steps and costs are below.</w:t>
      </w:r>
    </w:p>
    <w:p>
      <w:pPr>
        <w:pStyle w:val="Heading2"/>
      </w:pPr>
      <w:r>
        <w:t xml:space="preserve">Forming your own (California)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Step</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What it is</w:t>
            </w:r>
          </w:p>
        </w:tc>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Cost / note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Reserve / clear name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Confirm the name isn’t taken with the CA Secretary of State; optional 60-day reservation.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(optional)</w:t>
            </w:r>
          </w:p>
        </w:tc>
      </w:tr>
      <w:tr>
        <w:tc>
          <w:tcPr>
            <w:tcW w:type="dxa" w:w="24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File Articles of Incorporation</w:t>
            </w:r>
          </w:p>
        </w:tc>
        <w:tc>
          <w:tcPr>
            <w:tcW w:type="dxa" w:w="436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File as a nonprofit public benefit corporation via the SOS bizfile portal. Must include the IRS-compliant purpose clause and dissolution clause.</w:t>
            </w:r>
          </w:p>
        </w:tc>
        <w:tc>
          <w:tcPr>
            <w:tcW w:type="dxa" w:w="26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$30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Appoint board &amp; adopt bylaws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 requires a minimum of 1 director; plan for 3–7 for credible governance and to satisfy IRS expectations. Adopt bylaws + conflict-of-interest policy (not filed with the state).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r>
      <w:tr>
        <w:tc>
          <w:tcPr>
            <w:tcW w:type="dxa" w:w="24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File Statement of Information (SI-100)</w:t>
            </w:r>
          </w:p>
        </w:tc>
        <w:tc>
          <w:tcPr>
            <w:tcW w:type="dxa" w:w="436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Within 90 days of incorporation, via bizfile.</w:t>
            </w:r>
          </w:p>
        </w:tc>
        <w:tc>
          <w:tcPr>
            <w:tcW w:type="dxa" w:w="26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EIN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from the IRS — needed for bank account and filings.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r>
      <w:tr>
        <w:tc>
          <w:tcPr>
            <w:tcW w:type="dxa" w:w="24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Apply for 501(c)(3)</w:t>
            </w:r>
          </w:p>
        </w:tc>
        <w:tc>
          <w:tcPr>
            <w:tcW w:type="dxa" w:w="436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Form 1023-EZ if gross receipts ≤ $50k/yr and assets ≤ $250k (faster, ~$275). Otherwise full Form 1023 ($600).</w:t>
            </w:r>
          </w:p>
        </w:tc>
        <w:tc>
          <w:tcPr>
            <w:tcW w:type="dxa" w:w="26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$275 or $600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Register with CA Attorney General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 Form CT-1 within 30 days of first receiving charitable assets; required to solicit donations in CA.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w:t>
            </w:r>
          </w:p>
        </w:tc>
      </w:tr>
    </w:tbl>
    <w:p>
      <w:pPr>
        <w:spacing w:after="120" w:line="276"/>
      </w:pPr>
      <w:r>
        <w:rPr>
          <w:i/>
          <w:iCs/>
          <w:color w:val="555555"/>
          <w:sz w:val="20"/>
          <w:szCs w:val="20"/>
        </w:rPr>
        <w:t xml:space="preserve">Realistic all-in for the DIY path: roughly $400–$950 in filing fees, plus weeks-to-months of processing time (1023-EZ is much faster than the full 1023). Fiscal sponsorship avoids almost all of this up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7" w:sz="1"/>
              <w:left w:val="single" w:color="2E8B8B" w:sz="18"/>
              <w:bottom w:val="single" w:color="EAF1F7" w:sz="1"/>
              <w:right w:val="single" w:color="EAF1F7" w:sz="1"/>
            </w:tcBorders>
            <w:shd w:fill="EAF1F7" w:val="clear"/>
            <w:tcMar>
              <w:top w:type="dxa" w:w="140"/>
              <w:left w:type="dxa" w:w="200"/>
              <w:bottom w:type="dxa" w:w="140"/>
              <w:right w:type="dxa" w:w="200"/>
            </w:tcMar>
          </w:tcPr>
          <w:p>
            <w:pPr>
              <w:spacing w:after="60"/>
            </w:pPr>
            <w:r>
              <w:rPr>
                <w:b/>
                <w:bCs/>
                <w:color w:val="1F3A5F"/>
                <w:sz w:val="20"/>
                <w:szCs w:val="20"/>
              </w:rPr>
              <w:t xml:space="preserve">Governance note that matters for your model</w:t>
            </w:r>
          </w:p>
          <w:p>
            <w:pPr>
              <w:spacing w:after="40"/>
            </w:pPr>
            <w:r>
              <w:rPr>
                <w:color w:val="555555"/>
                <w:sz w:val="20"/>
                <w:szCs w:val="20"/>
              </w:rPr>
              <w:t xml:space="preserve">Because you plan to pay founders/operators for their hours, the IRS and CA AG will look closely at who controls the board. Aim for a majority of directors who are independent (not paid by the org and not related to those who are). Adopt a written conflict-of-interest policy and have paid people recuse from votes on their own compensation. This single step protects the whole “bill our hours” approach.</w:t>
            </w:r>
          </w:p>
        </w:tc>
      </w:tr>
    </w:tbl>
    <w:p>
      <w:pPr>
        <w:pStyle w:val="Heading1"/>
      </w:pPr>
      <w:r>
        <w:t xml:space="preserve">2. Funding Model &amp; Transparency</w:t>
      </w:r>
    </w:p>
    <w:p>
      <w:pPr>
        <w:spacing w:after="120" w:line="276"/>
      </w:pPr>
      <w:r>
        <w:t xml:space="preserve">The model: donations flow in, the org pays documented time spent building and maintaining the map and program, and the remaining funds pay for waterway testing — done either by the org’s own trained team or by private contract labs. Paying your own people is allowed and ordinary for nonprofits; it just has to be done cleanly and visibly.</w:t>
      </w:r>
    </w:p>
    <w:p>
      <w:pPr>
        <w:pStyle w:val="Heading2"/>
      </w:pPr>
      <w:r>
        <w:t xml:space="preserve">How the money is allowed to flow</w:t>
      </w:r>
    </w:p>
    <w:p>
      <w:pPr>
        <w:pStyle w:val="ListParagraph"/>
        <w:numPr>
          <w:ilvl w:val="0"/>
          <w:numId w:val="2"/>
        </w:numPr>
        <w:spacing w:after="60" w:line="276"/>
      </w:pPr>
      <w:r>
        <w:t xml:space="preserve">Reasonable compensation. Hourly rates should be defensible against what similar work costs in the region. Keep timesheets (you already want this for transparency) and have the board approve rates.</w:t>
      </w:r>
    </w:p>
    <w:p>
      <w:pPr>
        <w:pStyle w:val="ListParagraph"/>
        <w:numPr>
          <w:ilvl w:val="0"/>
          <w:numId w:val="2"/>
        </w:numPr>
        <w:spacing w:after="60" w:line="276"/>
      </w:pPr>
      <w:r>
        <w:t xml:space="preserve">No private inurement. Charitable funds can’t enrich insiders beyond fair pay for real work. Reasonable, documented, board-approved pay is fine; above-market pay or vague “management fees” are not.</w:t>
      </w:r>
    </w:p>
    <w:p>
      <w:pPr>
        <w:pStyle w:val="ListParagraph"/>
        <w:numPr>
          <w:ilvl w:val="0"/>
          <w:numId w:val="2"/>
        </w:numPr>
        <w:spacing w:after="60" w:line="276"/>
      </w:pPr>
      <w:r>
        <w:t xml:space="preserve">Worker classification. Decide W-2 employee vs. 1099 contractor correctly for each person; misclassification is the most common avoidable mistake.</w:t>
      </w:r>
    </w:p>
    <w:p>
      <w:pPr>
        <w:pStyle w:val="ListParagraph"/>
        <w:numPr>
          <w:ilvl w:val="0"/>
          <w:numId w:val="2"/>
        </w:numPr>
        <w:spacing w:after="60" w:line="276"/>
      </w:pPr>
      <w:r>
        <w:t xml:space="preserve">Restricted vs. unrestricted gifts. If you tell donors “funds go to water testing,” track those dollars separately and actually spend them on testing. A simple two-bucket ledger (Operations vs. Testing) handles this.</w:t>
      </w:r>
    </w:p>
    <w:p>
      <w:pPr>
        <w:pStyle w:val="Heading2"/>
      </w:pPr>
      <w:r>
        <w:t xml:space="preserve">Suggested allocation (illustrative, tune as you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Bucket</w:t>
            </w:r>
          </w:p>
        </w:tc>
        <w:tc>
          <w:tcPr>
            <w:tcW w:type="dxa" w:w="4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What it covers</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Rough 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Program operations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 build/maintenance, hosting, data updates — the billed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40–60%</w:t>
            </w:r>
          </w:p>
        </w:tc>
      </w:tr>
      <w:tr>
        <w:tc>
          <w:tcPr>
            <w:tcW w:type="dxa" w:w="26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Waterway testing</w:t>
            </w:r>
          </w:p>
        </w:tc>
        <w:tc>
          <w:tcPr>
            <w:tcW w:type="dxa" w:w="476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Lab fees, sampling supplies, contractor sampling, QA</w:t>
            </w:r>
          </w:p>
        </w:tc>
        <w:tc>
          <w:tcPr>
            <w:tcW w:type="dxa" w:w="20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30–50%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Platform &amp; admin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Donation/processing fees, filings, insurance, accounting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5–10%</w:t>
            </w:r>
          </w:p>
        </w:tc>
      </w:tr>
    </w:tbl>
    <w:p>
      <w:pPr>
        <w:pStyle w:val="Heading2"/>
      </w:pPr>
      <w:r>
        <w:t xml:space="preserve">Making “fully transparent” real</w:t>
      </w:r>
    </w:p>
    <w:p>
      <w:pPr>
        <w:spacing w:after="120" w:line="276"/>
      </w:pPr>
      <w:r>
        <w:t xml:space="preserve">Transparency is your strongest defense and your best fundraising pitch — so build it as a visible feature, not a buried report:</w:t>
      </w:r>
    </w:p>
    <w:p>
      <w:pPr>
        <w:pStyle w:val="ListParagraph"/>
        <w:numPr>
          <w:ilvl w:val="0"/>
          <w:numId w:val="2"/>
        </w:numPr>
        <w:spacing w:after="60" w:line="276"/>
      </w:pPr>
      <w:r>
        <w:t xml:space="preserve">Public ledger: a simple page (or even a shared sheet) showing hours logged, who, on what, and dollars in/out by bucket, updated monthly.</w:t>
      </w:r>
    </w:p>
    <w:p>
      <w:pPr>
        <w:pStyle w:val="ListParagraph"/>
        <w:numPr>
          <w:ilvl w:val="0"/>
          <w:numId w:val="2"/>
        </w:numPr>
        <w:spacing w:after="60" w:line="276"/>
      </w:pPr>
      <w:r>
        <w:t xml:space="preserve">Plain-language annual summary: total raised, total hours billed and at what rate, tests funded, results published.</w:t>
      </w:r>
    </w:p>
    <w:p>
      <w:pPr>
        <w:pStyle w:val="ListParagraph"/>
        <w:numPr>
          <w:ilvl w:val="0"/>
          <w:numId w:val="2"/>
        </w:numPr>
        <w:spacing w:after="60" w:line="276"/>
      </w:pPr>
      <w:r>
        <w:t xml:space="preserve">Board minutes for any vote setting or changing pay rates.</w:t>
      </w:r>
    </w:p>
    <w:p>
      <w:pPr>
        <w:spacing w:after="120" w:line="276"/>
      </w:pPr>
      <w:r>
        <w:t xml:space="preserve">This also positions you well for a Candid/GuideStar “Transparency” seal later, which donors increasingly look for.</w:t>
      </w:r>
    </w:p>
    <w:p>
      <w:pPr>
        <w:pStyle w:val="Heading1"/>
      </w:pPr>
      <w:r>
        <w:t xml:space="preserve">3. Donations &amp; the Donate Button</w:t>
      </w:r>
    </w:p>
    <w:p>
      <w:pPr>
        <w:spacing w:after="120" w:line="276"/>
      </w:pPr>
      <w:r>
        <w:t xml:space="preserve">You leaned toward a nonprofit-native platform over GoFundMe — the right call for an ongoing org. These are built for recurring giving, automatic tax receipts, and a clean embeddable button or pop-up you can drop onto the map page. Both require a registered 501(c)(3) (or your fiscal sponsor’s) to unlock nonprofit rates.</w:t>
      </w:r>
    </w:p>
    <w:p>
      <w:pPr>
        <w:pStyle w:val="Heading2"/>
      </w:pPr>
      <w:r>
        <w:t xml:space="preserve">Givebutter vs. Donorbox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Givebutter</w:t>
            </w:r>
          </w:p>
        </w:tc>
        <w:tc>
          <w:tcPr>
            <w:tcW w:type="dxa" w:w="34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Donorbox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Platform fee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Tip-based: 
            <w:r>
              <w:rPr>
                <w:b/>
                <w:bCs/>
              </w:rPr>
              <w:t xml:space="preserve">0%</w:t>
            </w:r>
            <w:r>
              <w:t xml:space="preserve"> if donors leave optional tips; otherwise a flat 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2.95% on free Standard plan (1.75% on $150/mo Pro)</w:t>
            </w:r>
          </w:p>
        </w:tc>
      </w:tr>
      <w:tr>
        <w:tc>
          <w:tcPr>
            <w:tcW w:type="dxa" w:w="22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Processing</w:t>
            </w:r>
          </w:p>
        </w:tc>
        <w:tc>
          <w:tcPr>
            <w:tcW w:type="dxa" w:w="368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2.9% + 30¢ card; 1.9% + 30¢ ACH</w:t>
            </w:r>
          </w:p>
        </w:tc>
        <w:tc>
          <w:tcPr>
            <w:tcW w:type="dxa" w:w="348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~2.2% + 30¢ card (discounted Stripe nonprofit 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Donors can cover fees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can net you ~100%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can net you ~100%</w:t>
            </w:r>
          </w:p>
        </w:tc>
      </w:tr>
      <w:tr>
        <w:tc>
          <w:tcPr>
            <w:tcW w:type="dxa" w:w="22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Best for</w:t>
            </w:r>
          </w:p>
        </w:tc>
        <w:tc>
          <w:tcPr>
            <w:tcW w:type="dxa" w:w="368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Lowest cost at small scale; modern embeds, free CRM</w:t>
            </w:r>
          </w:p>
        </w:tc>
        <w:tc>
          <w:tcPr>
            <w:tcW w:type="dxa" w:w="348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Strong recurring-donation tooling; slightly lower processing</w:t>
            </w:r>
          </w:p>
        </w:tc>
      </w:tr>
    </w:tbl>
    <w:p>
      <w:pPr>
        <w:spacing w:after="120" w:line="276"/>
      </w:pPr>
      <w:r>
        <w:rPr>
          <w:b/>
          <w:bCs/>
        </w:rPr>
        <w:t xml:space="preserve">Recommendation: </w:t>
      </w:r>
      <w:r>
        <w:t xml:space="preserve">start with Givebutter. With optional donor tips enabled it can cost the org effectively nothing, the embeds are clean, and the built-in donor CRM saves you a tool. Donorbox is a fine alternative if you prioritize recurring-gift features and want the marginally lower processing rate. Either way, turn on “let donors cover fees” so more of each gift reaches the water.</w:t>
      </w:r>
    </w:p>
    <w:p>
      <w:pPr>
        <w:pStyle w:val="Heading2"/>
      </w:pPr>
      <w:r>
        <w:t xml:space="preserve">Putting it on the map</w:t>
      </w:r>
    </w:p>
    <w:p>
      <w:pPr>
        <w:spacing w:after="120" w:line="276"/>
      </w:pPr>
      <w:r>
        <w:t xml:space="preserve">Both platforms give you an embed snippet. Two clean options for the map page:</w:t>
      </w:r>
    </w:p>
    <w:p>
      <w:pPr>
        <w:pStyle w:val="ListParagraph"/>
        <w:numPr>
          <w:ilvl w:val="0"/>
          <w:numId w:val="2"/>
        </w:numPr>
        <w:spacing w:after="60" w:line="276"/>
      </w:pPr>
      <w:r>
        <w:t xml:space="preserve">Donate tab/page: a dedicated “Donate / Support testing” nav item linking to the embedded form. Simplest and clearest.</w:t>
      </w:r>
    </w:p>
    <w:p>
      <w:pPr>
        <w:pStyle w:val="ListParagraph"/>
        <w:numPr>
          <w:ilvl w:val="0"/>
          <w:numId w:val="2"/>
        </w:numPr>
        <w:spacing w:after="60" w:line="276"/>
      </w:pPr>
      <w:r>
        <w:t xml:space="preserve">Floating bubble: a small fixed “Donate” button anchored in a corner of the map that opens the form in a pop-up — high visibility without covering the map. Givebutter and Donorbox both offer a pop-up widget for exactly this.</w:t>
      </w:r>
    </w:p>
    <w:p>
      <w:pPr>
        <w:spacing w:after="120" w:line="276"/>
      </w:pPr>
      <w:r>
        <w:t xml:space="preserve">This is a small embed snippet on the existing site — once the platform account exists I can wire either option into the map for you.</w:t>
      </w:r>
    </w:p>
    <w:p>
      <w:pPr>
        <w:pStyle w:val="Heading1"/>
      </w:pPr>
      <w:r>
        <w:t xml:space="preserve">4. Waterway Testing Focus</w:t>
      </w:r>
    </w:p>
    <w:p>
      <w:pPr>
        <w:spacing w:after="120" w:line="276"/>
      </w:pPr>
      <w:r>
        <w:t xml:space="preserve">This is where donor money turns into something the herbicide map can’t show on its own: actual measured conditions in Plumas County waterways. Technically it’s just another layer on the map. The credibility — and whether anyone trusts or acts on the data — comes from how you collect it.</w:t>
      </w:r>
    </w:p>
    <w:p>
      <w:pPr>
        <w:pStyle w:val="Heading2"/>
      </w:pPr>
      <w:r>
        <w:t xml:space="preserve">Design the program around data quality</w:t>
      </w:r>
    </w:p>
    <w:p>
      <w:pPr>
        <w:spacing w:after="120" w:line="276"/>
      </w:pPr>
      <w:r>
        <w:t xml:space="preserve">The single most important document is a Quality Assurance Project Plan (QAPP) — the standard EPA/State Water Board framework that says exactly how you sample, store, analyze, and document results. It’s what convinces skeptics (and agencies) your numbers are real. California’s Clean Water Team and EPA’s Volunteer Monitor’s Guide to QAPPs both publish free templates you can adapt.</w:t>
      </w:r>
    </w:p>
    <w:p>
      <w:pPr>
        <w:pStyle w:val="ListParagraph"/>
        <w:numPr>
          <w:ilvl w:val="0"/>
          <w:numId w:val="2"/>
        </w:numPr>
        <w:spacing w:after="60" w:line="276"/>
      </w:pPr>
      <w:r>
        <w:t xml:space="preserve">Define what you’re testing for and why: tie analytes to the herbicides actually mapped (e.g., glyphosate, 2,4-D, imazapyr) plus general indicators.</w:t>
      </w:r>
    </w:p>
    <w:p>
      <w:pPr>
        <w:pStyle w:val="ListParagraph"/>
        <w:numPr>
          <w:ilvl w:val="0"/>
          <w:numId w:val="2"/>
        </w:numPr>
        <w:spacing w:after="60" w:line="276"/>
      </w:pPr>
      <w:r>
        <w:t xml:space="preserve">Decide who collects: trained volunteers (cheaper, needs annual training + a QAPP) vs. private contractor/certified lab (costlier, higher built-in credibility). A blend is common — volunteers sample, certified lab analyzes.</w:t>
      </w:r>
    </w:p>
    <w:p>
      <w:pPr>
        <w:pStyle w:val="ListParagraph"/>
        <w:numPr>
          <w:ilvl w:val="0"/>
          <w:numId w:val="2"/>
        </w:numPr>
        <w:spacing w:after="60" w:line="276"/>
      </w:pPr>
      <w:r>
        <w:t xml:space="preserve">Use accredited labs for analysis and document chain-of-custody so results hold up if challenged.</w:t>
      </w:r>
    </w:p>
    <w:p>
      <w:pPr>
        <w:pStyle w:val="ListParagraph"/>
        <w:numPr>
          <w:ilvl w:val="0"/>
          <w:numId w:val="2"/>
        </w:numPr>
        <w:spacing w:after="60" w:line="276"/>
      </w:pPr>
      <w:r>
        <w:t xml:space="preserve">Standardize sites, timing, and methods so org-collected and contractor-collected data line up on the same scale.</w:t>
      </w:r>
    </w:p>
    <w:p>
      <w:pPr>
        <w:pStyle w:val="Heading2"/>
      </w:pPr>
      <w:r>
        <w:t xml:space="preserve">The data layer (designing it now saves pain later)</w:t>
      </w:r>
    </w:p>
    <w:p>
      <w:pPr>
        <w:spacing w:after="120" w:line="276"/>
      </w:pPr>
      <w:r>
        <w:t xml:space="preserve">Decide the schema before collecting a single sample, so every source feeds the same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Site ID + GPS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 placement and repeat sampling over time</w:t>
            </w:r>
          </w:p>
        </w:tc>
      </w:tr>
      <w:tr>
        <w:tc>
          <w:tcPr>
            <w:tcW w:type="dxa" w:w="30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Date / time</w:t>
            </w:r>
          </w:p>
        </w:tc>
        <w:tc>
          <w:tcPr>
            <w:tcW w:type="dxa" w:w="636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Trend tracking; correlate with application dates on the herbicide layer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Analyte + result + units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measurement itself</w:t>
            </w:r>
          </w:p>
        </w:tc>
      </w:tr>
      <w:tr>
        <w:tc>
          <w:tcPr>
            <w:tcW w:type="dxa" w:w="30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Method + detection limit</w:t>
            </w:r>
          </w:p>
        </w:tc>
        <w:tc>
          <w:tcPr>
            <w:tcW w:type="dxa" w:w="636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Lets users judge rigor; flags “non-detect” vs. “zero”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Lab / collector + QA flag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Provenance and a confidence indicator per data point</w:t>
            </w:r>
          </w:p>
        </w:tc>
      </w:tr>
    </w:tbl>
    <w:p>
      <w:pPr>
        <w:spacing w:after="120" w:line="276"/>
      </w:pPr>
      <w:r>
        <w:rPr>
          <w:i/>
          <w:iCs/>
          <w:color w:val="555555"/>
          <w:sz w:val="20"/>
          <w:szCs w:val="20"/>
        </w:rPr>
        <w:t xml:space="preserve">On the map, consider showing a confidence indicator (who collected, what method) rather than just a number — it reinforces the transparency story and protects you from over-claiming.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7" w:sz="1"/>
              <w:left w:val="single" w:color="2E8B8B" w:sz="18"/>
              <w:bottom w:val="single" w:color="EAF1F7" w:sz="1"/>
              <w:right w:val="single" w:color="EAF1F7" w:sz="1"/>
            </w:tcBorders>
            <w:shd w:fill="EAF1F7" w:val="clear"/>
            <w:tcMar>
              <w:top w:type="dxa" w:w="140"/>
              <w:left w:type="dxa" w:w="200"/>
              <w:bottom w:type="dxa" w:w="140"/>
              <w:right w:type="dxa" w:w="200"/>
            </w:tcMar>
          </w:tcPr>
          <w:p>
            <w:pPr>
              <w:spacing w:after="60"/>
            </w:pPr>
            <w:r>
              <w:rPr>
                <w:b/>
                <w:bCs/>
                <w:color w:val="1F3A5F"/>
                <w:sz w:val="20"/>
                <w:szCs w:val="20"/>
              </w:rPr>
              <w:t xml:space="preserve">A note on what you publish</w:t>
            </w:r>
          </w:p>
          <w:p>
            <w:pPr>
              <w:spacing w:after="40"/>
            </w:pPr>
            <w:r>
              <w:rPr>
                <w:color w:val="555555"/>
                <w:sz w:val="20"/>
                <w:szCs w:val="20"/>
              </w:rPr>
              <w:t xml:space="preserve">Reporting measured results is fine. Stating or implying a specific health risk or assigning blame from those results is a different, higher-liability claim. Keep public language to “what we measured, where, by what method,” link to official drinking-water/health standards for context, and let people draw conclusions. Run the framing past counsel before launch.</w:t>
            </w:r>
          </w:p>
        </w:tc>
      </w:tr>
    </w:tbl>
    <w:p>
      <w:pPr>
        <w:pStyle w:val="Heading1"/>
      </w:pPr>
      <w:r>
        <w:t xml:space="preserve">5. Recommended Sequence</w:t>
      </w:r>
    </w:p>
    <w:p>
      <w:pPr>
        <w:pStyle w:val="ListParagraph"/>
        <w:numPr>
          <w:ilvl w:val="0"/>
          <w:numId w:val="3"/>
        </w:numPr>
        <w:spacing w:after="60" w:line="276"/>
      </w:pPr>
      <w:r>
        <w:t xml:space="preserve">Lock the mission statement and pick a name (drives both the filing and the map branding).</w:t>
      </w:r>
    </w:p>
    <w:p>
      <w:pPr>
        <w:pStyle w:val="ListParagraph"/>
        <w:numPr>
          <w:ilvl w:val="0"/>
          <w:numId w:val="3"/>
        </w:numPr>
        <w:spacing w:after="60" w:line="276"/>
      </w:pPr>
      <w:r>
        <w:t xml:space="preserve">Choose Path A (fiscal sponsor) or Path B (own 501(c)(3)). Path A if you want donations live within weeks.</w:t>
      </w:r>
    </w:p>
    <w:p>
      <w:pPr>
        <w:pStyle w:val="ListParagraph"/>
        <w:numPr>
          <w:ilvl w:val="0"/>
          <w:numId w:val="3"/>
        </w:numPr>
        <w:spacing w:after="60" w:line="276"/>
      </w:pPr>
      <w:r>
        <w:t xml:space="preserve">Recruit a small board with an independent majority; adopt bylaws + conflict-of-interest policy.</w:t>
      </w:r>
    </w:p>
    <w:p>
      <w:pPr>
        <w:pStyle w:val="ListParagraph"/>
        <w:numPr>
          <w:ilvl w:val="0"/>
          <w:numId w:val="3"/>
        </w:numPr>
        <w:spacing w:after="60" w:line="276"/>
      </w:pPr>
      <w:r>
        <w:t xml:space="preserve">Open the donation platform (Givebutter) and the bank account; turn on “donors cover fees.”</w:t>
      </w:r>
    </w:p>
    <w:p>
      <w:pPr>
        <w:pStyle w:val="ListParagraph"/>
        <w:numPr>
          <w:ilvl w:val="0"/>
          <w:numId w:val="3"/>
        </w:numPr>
        <w:spacing w:after="60" w:line="276"/>
      </w:pPr>
      <w:r>
        <w:t xml:space="preserve">Stand up the public transparency ledger (hours + dollars by bucket).</w:t>
      </w:r>
    </w:p>
    <w:p>
      <w:pPr>
        <w:pStyle w:val="ListParagraph"/>
        <w:numPr>
          <w:ilvl w:val="0"/>
          <w:numId w:val="3"/>
        </w:numPr>
        <w:spacing w:after="60" w:line="276"/>
      </w:pPr>
      <w:r>
        <w:t xml:space="preserve">Add the donate tab/bubble to the map and soft-launch.</w:t>
      </w:r>
    </w:p>
    <w:p>
      <w:pPr>
        <w:pStyle w:val="ListParagraph"/>
        <w:numPr>
          <w:ilvl w:val="0"/>
          <w:numId w:val="3"/>
        </w:numPr>
        <w:spacing w:after="60" w:line="276"/>
      </w:pPr>
      <w:r>
        <w:t xml:space="preserve">Draft the QAPP and run a small first round of waterway tests to seed the testing layer.</w:t>
      </w:r>
    </w:p>
    <w:p>
      <w:pPr>
        <w:pStyle w:val="ListParagraph"/>
        <w:numPr>
          <w:ilvl w:val="0"/>
          <w:numId w:val="3"/>
        </w:numPr>
        <w:spacing w:after="60" w:line="276"/>
      </w:pPr>
      <w:r>
        <w:t xml:space="preserve">Publish first results + first transparency summary; use them to fundraise for the next round.</w:t>
      </w:r>
    </w:p>
    <w:p>
      <w:pPr>
        <w:pStyle w:val="Heading2"/>
      </w:pPr>
      <w:r>
        <w:t xml:space="preserve">Ballpark cost to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Item</w:t>
            </w:r>
          </w:p>
        </w:tc>
        <w:tc>
          <w:tcPr>
            <w:tcW w:type="dxa" w:w="31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Fiscal sponsor (Path A)</w:t>
            </w:r>
          </w:p>
        </w:tc>
        <w:tc>
          <w:tcPr>
            <w:tcW w:type="dxa" w:w="31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Own 501(c)(3) (Path 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Formation / filings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 (5–10% of funds raised)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~$400–$950 one-time</w:t>
            </w:r>
          </w:p>
        </w:tc>
      </w:tr>
      <w:tr>
        <w:tc>
          <w:tcPr>
            <w:tcW w:type="dxa" w:w="30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Donation platform</w:t>
            </w:r>
          </w:p>
        </w:tc>
        <w:tc>
          <w:tcPr>
            <w:tcW w:type="dxa" w:w="318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~0–3% + processing</w:t>
            </w:r>
          </w:p>
        </w:tc>
        <w:tc>
          <w:tcPr>
            <w:tcW w:type="dxa" w:w="318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~0–3% + processing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First testing round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Lab + supplies (varies by analytes/sites)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w:t>
            </w:r>
          </w:p>
        </w:tc>
      </w:tr>
      <w:tr>
        <w:tc>
          <w:tcPr>
            <w:tcW w:type="dxa" w:w="300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Time to accept donations</w:t>
            </w:r>
          </w:p>
        </w:tc>
        <w:tc>
          <w:tcPr>
            <w:tcW w:type="dxa" w:w="318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Days–weeks</w:t>
            </w:r>
          </w:p>
        </w:tc>
        <w:tc>
          <w:tcPr>
            <w:tcW w:type="dxa" w:w="3180"/>
            <w:tcBorders>
              <w:top w:val="single" w:color="CCCCCC" w:sz="1"/>
              <w:left w:val="single" w:color="CCCCCC" w:sz="1"/>
              <w:bottom w:val="single" w:color="CCCCCC" w:sz="1"/>
              <w:right w:val="single" w:color="CCCCCC" w:sz="1"/>
            </w:tcBorders>
            <w:shd w:fill="EAF1F7" w:val="clear"/>
            <w:tcMar>
              <w:top w:type="dxa" w:w="80"/>
              <w:left w:type="dxa" w:w="120"/>
              <w:bottom w:type="dxa" w:w="80"/>
              <w:right w:type="dxa" w:w="120"/>
            </w:tcMar>
          </w:tcPr>
          <w:p>
            <w:r>
              <w:rPr>
                <w:sz w:val="20"/>
                <w:szCs w:val="20"/>
              </w:rPr>
              <w:t xml:space="preserve">Weeks–months</w:t>
            </w:r>
          </w:p>
        </w:tc>
      </w:tr>
    </w:tbl>
    <w:p>
      <w:pPr>
        <w:spacing w:after="120"/>
      </w:pPr>
      <w:r>
        <w:t xml:space="preserve"/>
      </w:r>
    </w:p>
    <w:p>
      <w:pPr>
        <w:pBdr>
          <w:top w:val="single" w:color="2E75B6" w:sz="6" w:space="4"/>
        </w:pBdr>
        <w:spacing w:after="120" w:before="120"/>
      </w:pPr>
      <w:r>
        <w:rPr>
          <w:b/>
          <w:bCs/>
          <w:color w:val="1F3A5F"/>
          <w:sz w:val="22"/>
          <w:szCs w:val="22"/>
        </w:rPr>
        <w:t xml:space="preserve">Sources &amp; references</w:t>
      </w:r>
    </w:p>
    <w:p>
      <w:pPr>
        <w:spacing w:after="40"/>
      </w:pPr>
      <w:r>
        <w:rPr>
          <w:color w:val="2E75B6"/>
        </w:rPr>
        <w:t xml:space="preserve">• </w:t>
      </w:r>
      <w:hyperlink w:history="1" r:id="rIdek-b8vw_wg8fyetdwwjho">
        <w:r>
          <w:rPr>
            <w:rStyle w:val="Hyperlink"/>
            <w:sz w:val="18"/>
            <w:szCs w:val="18"/>
          </w:rPr>
          <w:t xml:space="preserve">IRS — Form 1023-EZ (eligibility &amp; user fee)</w:t>
        </w:r>
      </w:hyperlink>
    </w:p>
    <w:p>
      <w:pPr>
        <w:spacing w:after="40"/>
      </w:pPr>
      <w:r>
        <w:rPr>
          <w:color w:val="2E75B6"/>
        </w:rPr>
        <w:t xml:space="preserve">• </w:t>
      </w:r>
      <w:hyperlink w:history="1" r:id="rId_fdyj3db1kbrj1oy2txar">
        <w:r>
          <w:rPr>
            <w:rStyle w:val="Hyperlink"/>
            <w:sz w:val="18"/>
            <w:szCs w:val="18"/>
          </w:rPr>
          <w:t xml:space="preserve">IRS — Form 1023 / 1023-EZ user fees</w:t>
        </w:r>
      </w:hyperlink>
    </w:p>
    <w:p>
      <w:pPr>
        <w:spacing w:after="40"/>
      </w:pPr>
      <w:r>
        <w:rPr>
          <w:color w:val="2E75B6"/>
        </w:rPr>
        <w:t xml:space="preserve">• </w:t>
      </w:r>
      <w:hyperlink w:history="1" r:id="rIdzmmix3qrqqxfitfprj0ew">
        <w:r>
          <w:rPr>
            <w:rStyle w:val="Hyperlink"/>
            <w:sz w:val="18"/>
            <w:szCs w:val="18"/>
          </w:rPr>
          <w:t xml:space="preserve">CalNonprofits — How to Start a California Nonprofit</w:t>
        </w:r>
      </w:hyperlink>
    </w:p>
    <w:p>
      <w:pPr>
        <w:spacing w:after="40"/>
      </w:pPr>
      <w:r>
        <w:rPr>
          <w:color w:val="2E75B6"/>
        </w:rPr>
        <w:t xml:space="preserve">• </w:t>
      </w:r>
      <w:hyperlink w:history="1" r:id="rIdntq32kxhqcchvmx3rkkzi">
        <w:r>
          <w:rPr>
            <w:rStyle w:val="Hyperlink"/>
            <w:sz w:val="18"/>
            <w:szCs w:val="18"/>
          </w:rPr>
          <w:t xml:space="preserve">CA Attorney General — Initial Registration (CT-1)</w:t>
        </w:r>
      </w:hyperlink>
    </w:p>
    <w:p>
      <w:pPr>
        <w:spacing w:after="40"/>
      </w:pPr>
      <w:r>
        <w:rPr>
          <w:color w:val="2E75B6"/>
        </w:rPr>
        <w:t xml:space="preserve">• </w:t>
      </w:r>
      <w:hyperlink w:history="1" r:id="rIdaiab1fqtw-dp6rlhnmtye">
        <w:r>
          <w:rPr>
            <w:rStyle w:val="Hyperlink"/>
            <w:sz w:val="18"/>
            <w:szCs w:val="18"/>
          </w:rPr>
          <w:t xml:space="preserve">Givebutter — Pricing</w:t>
        </w:r>
      </w:hyperlink>
    </w:p>
    <w:p>
      <w:pPr>
        <w:spacing w:after="40"/>
      </w:pPr>
      <w:r>
        <w:rPr>
          <w:color w:val="2E75B6"/>
        </w:rPr>
        <w:t xml:space="preserve">• </w:t>
      </w:r>
      <w:hyperlink w:history="1" r:id="rIdxzyxsglc4jqwaexromkmu">
        <w:r>
          <w:rPr>
            <w:rStyle w:val="Hyperlink"/>
            <w:sz w:val="18"/>
            <w:szCs w:val="18"/>
          </w:rPr>
          <w:t xml:space="preserve">Donorbox vs Givebutter comparison</w:t>
        </w:r>
      </w:hyperlink>
    </w:p>
    <w:p>
      <w:pPr>
        <w:spacing w:after="40"/>
      </w:pPr>
      <w:r>
        <w:rPr>
          <w:color w:val="2E75B6"/>
        </w:rPr>
        <w:t xml:space="preserve">• </w:t>
      </w:r>
      <w:hyperlink w:history="1" r:id="rIdzxspmflnjdfnm3sabxux0">
        <w:r>
          <w:rPr>
            <w:rStyle w:val="Hyperlink"/>
            <w:sz w:val="18"/>
            <w:szCs w:val="18"/>
          </w:rPr>
          <w:t xml:space="preserve">EPA — Volunteer Monitor’s Guide to Quality Assurance Project Plans</w:t>
        </w:r>
      </w:hyperlink>
    </w:p>
    <w:p>
      <w:pPr>
        <w:spacing w:after="40"/>
      </w:pPr>
      <w:r>
        <w:rPr>
          <w:color w:val="2E75B6"/>
        </w:rPr>
        <w:t xml:space="preserve">• </w:t>
      </w:r>
      <w:hyperlink w:history="1" r:id="rIdbil_pn964gifpbgjeqhuj">
        <w:r>
          <w:rPr>
            <w:rStyle w:val="Hyperlink"/>
            <w:sz w:val="18"/>
            <w:szCs w:val="18"/>
          </w:rPr>
          <w:t xml:space="preserve">CA State Water Board — Clean Water Team QA/QC</w:t>
        </w:r>
      </w:hyperlink>
    </w:p>
    <w:p>
      <w:pPr>
        <w:spacing w:before="120"/>
      </w:pPr>
      <w:r>
        <w:rPr>
          <w:i/>
          <w:iCs/>
          <w:color w:val="555555"/>
          <w:sz w:val="18"/>
          <w:szCs w:val="18"/>
        </w:rPr>
        <w:t xml:space="preserve">This document is general informational guidance, not legal, tax, or financial advice. Confirm entity formation, compensation practices, and public claims with a qualified nonprofit attorney and CPA before launch.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Plumas County Herbicide Map — Nonprofit &amp; Funding Plan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2E75B6"/>
      </w:rPr>
    </w:lvl>
  </w:abstractNum>
  <w:abstractNum w:abstractNumId="3" w15:restartNumberingAfterBreak="0">
    <w:multiLevelType w:val="hybridMultilevel"/>
    <w:lvl w:ilvl="0" w15:tentative="1">
      <w:start w:val="1"/>
      <w:numFmt w:val="decimal"/>
      <w:lvlText w:val="%1."/>
      <w:lvlJc w:val="left"/>
      <w:pPr>
        <w:ind w:left="540" w:hanging="30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E0EC" w:sz="4" w:space="4"/>
      </w:pBdr>
      <w:spacing w:after="14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k-b8vw_wg8fyetdwwjho" Type="http://schemas.openxmlformats.org/officeDocument/2006/relationships/hyperlink" Target="https://www.irs.gov/forms-pubs/about-form-1023-ez" TargetMode="External"/><Relationship Id="rId_fdyj3db1kbrj1oy2txar" Type="http://schemas.openxmlformats.org/officeDocument/2006/relationships/hyperlink" Target="https://www.irs.gov/charities-non-profits/form-1023-and-1023-ez-amount-of-user-fee" TargetMode="External"/><Relationship Id="rIdzmmix3qrqqxfitfprj0ew" Type="http://schemas.openxmlformats.org/officeDocument/2006/relationships/hyperlink" Target="https://calnonprofits.org/resources/how-to-start-a-california-nonprofit/" TargetMode="External"/><Relationship Id="rIdntq32kxhqcchvmx3rkkzi" Type="http://schemas.openxmlformats.org/officeDocument/2006/relationships/hyperlink" Target="https://oag.ca.gov/charities/initial-reg" TargetMode="External"/><Relationship Id="rIdaiab1fqtw-dp6rlhnmtye" Type="http://schemas.openxmlformats.org/officeDocument/2006/relationships/hyperlink" Target="https://givebutter.com/pricing" TargetMode="External"/><Relationship Id="rIdxzyxsglc4jqwaexromkmu" Type="http://schemas.openxmlformats.org/officeDocument/2006/relationships/hyperlink" Target="https://donorbox.org/nonprofit-blog/donorbox-vs-givebutter" TargetMode="External"/><Relationship Id="rIdzxspmflnjdfnm3sabxux0" Type="http://schemas.openxmlformats.org/officeDocument/2006/relationships/hyperlink" Target="https://www.epa.gov/quality/volunteer-monitors-guide-quality-assurance-project-plans" TargetMode="External"/><Relationship Id="rIdbil_pn964gifpbgjeqhuj" Type="http://schemas.openxmlformats.org/officeDocument/2006/relationships/hyperlink" Target="https://www.waterboards.ca.gov/water_issues/programs/swamp/clean_water_team/quality-assurance-quality-control.html"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2026-06-24T23:48:05.942Z</dcterms:created>
  <dcterms:modified xsi:type="dcterms:W3CDTF">2026-06-24T23:48:05.943Z</dcterms:modified>
</cp:coreProperties>
</file>

<file path=docProps/custom.xml><?xml version="1.0" encoding="utf-8"?>
<Properties xmlns="http://schemas.openxmlformats.org/officeDocument/2006/custom-properties" xmlns:vt="http://schemas.openxmlformats.org/officeDocument/2006/docPropsVTypes"/>
</file>