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0"/>
        </w:rPr>
        <w:t>Travel Tracker Business Requirements Document</w:t>
      </w:r>
    </w:p>
    <w:p>
      <w:pPr>
        <w:jc w:val="center"/>
      </w:pPr>
      <w:r>
        <w:rPr>
          <w:i/>
          <w:color w:val="5A5A5A"/>
          <w:sz w:val="20"/>
        </w:rPr>
        <w:t>Standalone implementation-ready BRD with explicit priority and phase tagging</w:t>
      </w:r>
    </w:p>
    <w:p/>
    <w:p>
      <w:r>
        <w:rPr>
          <w:b/>
        </w:rPr>
        <w:t xml:space="preserve">Document purpose: </w:t>
      </w:r>
      <w:r>
        <w:t>Provide a single source of truth for the COO and implementation team. This version consolidates the approved BRD, the security phase model, the API contract direction, and the PO clarifications made during the audit interview.</w:t>
      </w:r>
    </w:p>
    <w:p>
      <w:pPr>
        <w:pStyle w:val="Heading1"/>
      </w:pPr>
      <w:r>
        <w:t>Scope and positioning</w:t>
      </w:r>
    </w:p>
    <w:p>
      <w:r>
        <w:t>Phase 1 is a single-user, local-first travel tracker for macOS. It supports trip planning, trip logging, post-trip review, and map-based visit history. No other users will exist in Phase 1. Hosted deployment, companion access, and stronger access-control controls are intentionally deferred to later phases.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296"/>
            <w:vAlign w:val="center"/>
            <w:shd w:fill="D9EAF7"/>
          </w:tcPr>
          <w:p>
            <w:r>
              <w:rPr>
                <w:b/>
                <w:sz w:val="18"/>
              </w:rPr>
              <w:t>Phase</w:t>
            </w:r>
          </w:p>
        </w:tc>
        <w:tc>
          <w:tcPr>
            <w:tcW w:type="dxa" w:w="3168"/>
            <w:vAlign w:val="center"/>
            <w:shd w:fill="D9EAF7"/>
          </w:tcPr>
          <w:p>
            <w:r>
              <w:rPr>
                <w:b/>
                <w:sz w:val="18"/>
              </w:rPr>
              <w:t>Intent</w:t>
            </w:r>
          </w:p>
        </w:tc>
        <w:tc>
          <w:tcPr>
            <w:tcW w:type="dxa" w:w="5688"/>
            <w:vAlign w:val="center"/>
            <w:shd w:fill="D9EAF7"/>
          </w:tcPr>
          <w:p>
            <w:r>
              <w:rPr>
                <w:b/>
                <w:sz w:val="18"/>
              </w:rPr>
              <w:t>Release gate</w:t>
            </w:r>
          </w:p>
        </w:tc>
      </w:tr>
      <w:tr>
        <w:tc>
          <w:tcPr>
            <w:tcW w:type="dxa" w:w="1296"/>
            <w:vAlign w:val="center"/>
          </w:tcPr>
          <w:p>
            <w:r>
              <w:rPr>
                <w:sz w:val="18"/>
              </w:rPr>
              <w:t>Phase 1</w:t>
            </w:r>
          </w:p>
        </w:tc>
        <w:tc>
          <w:tcPr>
            <w:tcW w:type="dxa" w:w="3168"/>
            <w:vAlign w:val="center"/>
          </w:tcPr>
          <w:p>
            <w:r>
              <w:rPr>
                <w:sz w:val="18"/>
              </w:rPr>
              <w:t>Single-user local beta</w:t>
            </w:r>
          </w:p>
        </w:tc>
        <w:tc>
          <w:tcPr>
            <w:tcW w:type="dxa" w:w="5688"/>
            <w:vAlign w:val="center"/>
          </w:tcPr>
          <w:p>
            <w:r>
              <w:rPr>
                <w:sz w:val="18"/>
              </w:rPr>
              <w:t>Core product complete; Phase 1 security controls in place; backend corrections C1-C3 closed; QA sign-off.</w:t>
            </w:r>
          </w:p>
        </w:tc>
      </w:tr>
      <w:tr>
        <w:tc>
          <w:tcPr>
            <w:tcW w:type="dxa" w:w="1296"/>
            <w:vAlign w:val="center"/>
          </w:tcPr>
          <w:p>
            <w:r>
              <w:rPr>
                <w:sz w:val="18"/>
              </w:rPr>
              <w:t>Phase 2</w:t>
            </w:r>
          </w:p>
        </w:tc>
        <w:tc>
          <w:tcPr>
            <w:tcW w:type="dxa" w:w="3168"/>
            <w:vAlign w:val="center"/>
          </w:tcPr>
          <w:p>
            <w:r>
              <w:rPr>
                <w:sz w:val="18"/>
              </w:rPr>
              <w:t>Hosted web launch for the owner account</w:t>
            </w:r>
          </w:p>
        </w:tc>
        <w:tc>
          <w:tcPr>
            <w:tcW w:type="dxa" w:w="5688"/>
            <w:vAlign w:val="center"/>
          </w:tcPr>
          <w:p>
            <w:r>
              <w:rPr>
                <w:sz w:val="18"/>
              </w:rPr>
              <w:t>Hosted auth, TLS, authorization checks, audit logging, production controls, and Phase 2 security gate complete.</w:t>
            </w:r>
          </w:p>
        </w:tc>
      </w:tr>
      <w:tr>
        <w:tc>
          <w:tcPr>
            <w:tcW w:type="dxa" w:w="1296"/>
            <w:vAlign w:val="center"/>
          </w:tcPr>
          <w:p>
            <w:r>
              <w:rPr>
                <w:sz w:val="18"/>
              </w:rPr>
              <w:t>Phase 3</w:t>
            </w:r>
          </w:p>
        </w:tc>
        <w:tc>
          <w:tcPr>
            <w:tcW w:type="dxa" w:w="3168"/>
            <w:vAlign w:val="center"/>
          </w:tcPr>
          <w:p>
            <w:r>
              <w:rPr>
                <w:sz w:val="18"/>
              </w:rPr>
              <w:t>Companion access and delegated collaboration</w:t>
            </w:r>
          </w:p>
        </w:tc>
        <w:tc>
          <w:tcPr>
            <w:tcW w:type="dxa" w:w="5688"/>
            <w:vAlign w:val="center"/>
          </w:tcPr>
          <w:p>
            <w:r>
              <w:rPr>
                <w:sz w:val="18"/>
              </w:rPr>
              <w:t>Role model, invite flow, broken-access-control testing, and Phase 3 security gate complete.</w:t>
            </w:r>
          </w:p>
        </w:tc>
      </w:tr>
    </w:tbl>
    <w:p/>
    <w:p>
      <w:pPr>
        <w:pStyle w:val="Heading1"/>
      </w:pPr>
      <w:r>
        <w:t>Key business decisions locked in</w:t>
      </w:r>
    </w:p>
    <w:p>
      <w:pPr>
        <w:pStyle w:val="ListBullet"/>
      </w:pPr>
      <w:r>
        <w:t>Phase 1 remains single-user only. No companion or public access is permitted before the Phase 2 and Phase 3 controls are implemented.</w:t>
      </w:r>
    </w:p>
    <w:p>
      <w:pPr>
        <w:pStyle w:val="ListBullet"/>
      </w:pPr>
      <w:r>
        <w:t>Trip lock is a soft lock. A user may unlock a trip deliberately to make changes; lock is a workflow state, not a compliance-grade immutability control.</w:t>
      </w:r>
    </w:p>
    <w:p>
      <w:pPr>
        <w:pStyle w:val="ListBullet"/>
      </w:pPr>
      <w:r>
        <w:t>Carry-forward items must be visibly identified as carried forward and retain a reference to the source item.</w:t>
      </w:r>
    </w:p>
    <w:p>
      <w:pPr>
        <w:pStyle w:val="ListBullet"/>
      </w:pPr>
      <w:r>
        <w:t>Long-term identity model is individual accounts under a subscription, not a shared family account.</w:t>
      </w:r>
    </w:p>
    <w:p>
      <w:pPr>
        <w:pStyle w:val="ListBullet"/>
      </w:pPr>
      <w:r>
        <w:t>Subscription-level settings are global. Trip-level delegation must not automatically grant global administrative power.</w:t>
      </w:r>
    </w:p>
    <w:p>
      <w:pPr>
        <w:pStyle w:val="ListBullet"/>
      </w:pPr>
      <w:r>
        <w:t>Offline geocoding should use silent retries with reducing frequency plus a manual user-triggered retry / reconnect option.</w:t>
      </w:r>
    </w:p>
    <w:p>
      <w:pPr>
        <w:pStyle w:val="Heading1"/>
      </w:pPr>
      <w:r>
        <w:t>Prioritisation model</w:t>
      </w:r>
    </w:p>
    <w:p>
      <w:r>
        <w:t>Priority tags are defined as follows: P1 = required for the phase launch, P2 = strongly recommended for the phase but may follow immediately after launch if not blocking, P3 = future enhancement.</w:t>
      </w:r>
    </w:p>
    <w:p>
      <w:pPr>
        <w:pStyle w:val="Heading1"/>
      </w:pPr>
      <w:r>
        <w:t>Requirements by domain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296"/>
            <w:vAlign w:val="center"/>
            <w:shd w:fill="D9EAF7"/>
          </w:tcPr>
          <w:p>
            <w:r>
              <w:rPr>
                <w:b/>
                <w:sz w:val="18"/>
              </w:rPr>
              <w:t>ID</w:t>
            </w:r>
          </w:p>
        </w:tc>
        <w:tc>
          <w:tcPr>
            <w:tcW w:type="dxa" w:w="6408"/>
            <w:vAlign w:val="center"/>
            <w:shd w:fill="D9EAF7"/>
          </w:tcPr>
          <w:p>
            <w:r>
              <w:rPr>
                <w:b/>
                <w:sz w:val="18"/>
              </w:rPr>
              <w:t>Requirement</w:t>
            </w:r>
          </w:p>
        </w:tc>
        <w:tc>
          <w:tcPr>
            <w:tcW w:type="dxa" w:w="1152"/>
            <w:vAlign w:val="center"/>
            <w:shd w:fill="D9EAF7"/>
          </w:tcPr>
          <w:p>
            <w:r>
              <w:rPr>
                <w:b/>
                <w:sz w:val="18"/>
              </w:rPr>
              <w:t>Priority</w:t>
            </w:r>
          </w:p>
        </w:tc>
        <w:tc>
          <w:tcPr>
            <w:tcW w:type="dxa" w:w="1584"/>
            <w:vAlign w:val="center"/>
            <w:shd w:fill="D9EAF7"/>
          </w:tcPr>
          <w:p>
            <w:r>
              <w:rPr>
                <w:b/>
                <w:sz w:val="18"/>
              </w:rPr>
              <w:t>Phase</w:t>
            </w:r>
          </w:p>
        </w:tc>
      </w:tr>
      <w:tr>
        <w:tc>
          <w:tcPr>
            <w:tcW w:type="dxa" w:w="1296"/>
            <w:vAlign w:val="center"/>
          </w:tcPr>
          <w:p>
            <w:r>
              <w:rPr>
                <w:sz w:val="18"/>
              </w:rPr>
              <w:t>TR-01</w:t>
            </w:r>
          </w:p>
        </w:tc>
        <w:tc>
          <w:tcPr>
            <w:tcW w:type="dxa" w:w="6408"/>
            <w:vAlign w:val="center"/>
          </w:tcPr>
          <w:p>
            <w:r>
              <w:rPr>
                <w:sz w:val="18"/>
              </w:rPr>
              <w:t>Trip creation with name, dates, destinations</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TR-02</w:t>
            </w:r>
          </w:p>
        </w:tc>
        <w:tc>
          <w:tcPr>
            <w:tcW w:type="dxa" w:w="6408"/>
            <w:vAlign w:val="center"/>
          </w:tcPr>
          <w:p>
            <w:r>
              <w:rPr>
                <w:sz w:val="18"/>
              </w:rPr>
              <w:t>Trip companions selectable from managed list for recording purposes, even though access sharing is out of scope</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TR-03</w:t>
            </w:r>
          </w:p>
        </w:tc>
        <w:tc>
          <w:tcPr>
            <w:tcW w:type="dxa" w:w="6408"/>
            <w:vAlign w:val="center"/>
          </w:tcPr>
          <w:p>
            <w:r>
              <w:rPr>
                <w:sz w:val="18"/>
              </w:rPr>
              <w:t>Trip categories</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TR-04</w:t>
            </w:r>
          </w:p>
        </w:tc>
        <w:tc>
          <w:tcPr>
            <w:tcW w:type="dxa" w:w="6408"/>
            <w:vAlign w:val="center"/>
          </w:tcPr>
          <w:p>
            <w:r>
              <w:rPr>
                <w:sz w:val="18"/>
              </w:rPr>
              <w:t>Activities attachable to trip or place</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TR-05</w:t>
            </w:r>
          </w:p>
        </w:tc>
        <w:tc>
          <w:tcPr>
            <w:tcW w:type="dxa" w:w="6408"/>
            <w:vAlign w:val="center"/>
          </w:tcPr>
          <w:p>
            <w:r>
              <w:rPr>
                <w:sz w:val="18"/>
              </w:rPr>
              <w:t>Editable trip fields before lock</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TR-06</w:t>
            </w:r>
          </w:p>
        </w:tc>
        <w:tc>
          <w:tcPr>
            <w:tcW w:type="dxa" w:w="6408"/>
            <w:vAlign w:val="center"/>
          </w:tcPr>
          <w:p>
            <w:r>
              <w:rPr>
                <w:sz w:val="18"/>
              </w:rPr>
              <w:t>Manual lock after post-trip review</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TR-07</w:t>
            </w:r>
          </w:p>
        </w:tc>
        <w:tc>
          <w:tcPr>
            <w:tcW w:type="dxa" w:w="6408"/>
            <w:vAlign w:val="center"/>
          </w:tcPr>
          <w:p>
            <w:r>
              <w:rPr>
                <w:sz w:val="18"/>
              </w:rPr>
              <w:t>Soft unlock action returns locked trip to review pending for correction</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TR-08</w:t>
            </w:r>
          </w:p>
        </w:tc>
        <w:tc>
          <w:tcPr>
            <w:tcW w:type="dxa" w:w="6408"/>
            <w:vAlign w:val="center"/>
          </w:tcPr>
          <w:p>
            <w:r>
              <w:rPr>
                <w:sz w:val="18"/>
              </w:rPr>
              <w:t>Repeat visits stored as separate dated trips</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TR-09</w:t>
            </w:r>
          </w:p>
        </w:tc>
        <w:tc>
          <w:tcPr>
            <w:tcW w:type="dxa" w:w="6408"/>
            <w:vAlign w:val="center"/>
          </w:tcPr>
          <w:p>
            <w:r>
              <w:rPr>
                <w:sz w:val="18"/>
              </w:rPr>
              <w:t>Chronological trip list</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TR-10</w:t>
            </w:r>
          </w:p>
        </w:tc>
        <w:tc>
          <w:tcPr>
            <w:tcW w:type="dxa" w:w="6408"/>
            <w:vAlign w:val="center"/>
          </w:tcPr>
          <w:p>
            <w:r>
              <w:rPr>
                <w:sz w:val="18"/>
              </w:rPr>
              <w:t>Search/filter trips by category/activity</w:t>
            </w:r>
          </w:p>
        </w:tc>
        <w:tc>
          <w:tcPr>
            <w:tcW w:type="dxa" w:w="1152"/>
            <w:vAlign w:val="center"/>
          </w:tcPr>
          <w:p>
            <w:r>
              <w:rPr>
                <w:sz w:val="18"/>
              </w:rPr>
              <w:t>P2</w:t>
            </w:r>
          </w:p>
        </w:tc>
        <w:tc>
          <w:tcPr>
            <w:tcW w:type="dxa" w:w="1584"/>
            <w:vAlign w:val="center"/>
          </w:tcPr>
          <w:p>
            <w:r>
              <w:rPr>
                <w:sz w:val="18"/>
              </w:rPr>
              <w:t>Phase 1</w:t>
            </w:r>
          </w:p>
        </w:tc>
      </w:tr>
      <w:tr>
        <w:tc>
          <w:tcPr>
            <w:tcW w:type="dxa" w:w="1296"/>
            <w:vAlign w:val="center"/>
          </w:tcPr>
          <w:p>
            <w:r>
              <w:rPr>
                <w:sz w:val="18"/>
              </w:rPr>
              <w:t>GE-01</w:t>
            </w:r>
          </w:p>
        </w:tc>
        <w:tc>
          <w:tcPr>
            <w:tcW w:type="dxa" w:w="6408"/>
            <w:vAlign w:val="center"/>
          </w:tcPr>
          <w:p>
            <w:r>
              <w:rPr>
                <w:sz w:val="18"/>
              </w:rPr>
              <w:t>Country &gt; region &gt; city hierarchy where applicable</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GE-03</w:t>
            </w:r>
          </w:p>
        </w:tc>
        <w:tc>
          <w:tcPr>
            <w:tcW w:type="dxa" w:w="6408"/>
            <w:vAlign w:val="center"/>
          </w:tcPr>
          <w:p>
            <w:r>
              <w:rPr>
                <w:sz w:val="18"/>
              </w:rPr>
              <w:t>Per-country region tier enable/disable</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GE-04</w:t>
            </w:r>
          </w:p>
        </w:tc>
        <w:tc>
          <w:tcPr>
            <w:tcW w:type="dxa" w:w="6408"/>
            <w:vAlign w:val="center"/>
          </w:tcPr>
          <w:p>
            <w:r>
              <w:rPr>
                <w:sz w:val="18"/>
              </w:rPr>
              <w:t>Default region behavior ships with app</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GE-11</w:t>
            </w:r>
          </w:p>
        </w:tc>
        <w:tc>
          <w:tcPr>
            <w:tcW w:type="dxa" w:w="6408"/>
            <w:vAlign w:val="center"/>
          </w:tcPr>
          <w:p>
            <w:r>
              <w:rPr>
                <w:sz w:val="18"/>
              </w:rPr>
              <w:t>City coordinates resolved once and stored</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GE-12</w:t>
            </w:r>
          </w:p>
        </w:tc>
        <w:tc>
          <w:tcPr>
            <w:tcW w:type="dxa" w:w="6408"/>
            <w:vAlign w:val="center"/>
          </w:tcPr>
          <w:p>
            <w:r>
              <w:rPr>
                <w:sz w:val="18"/>
              </w:rPr>
              <w:t>City creation must not block on internet availability</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GE-13</w:t>
            </w:r>
          </w:p>
        </w:tc>
        <w:tc>
          <w:tcPr>
            <w:tcW w:type="dxa" w:w="6408"/>
            <w:vAlign w:val="center"/>
          </w:tcPr>
          <w:p>
            <w:r>
              <w:rPr>
                <w:sz w:val="18"/>
              </w:rPr>
              <w:t>Pending-geocode cities remain usable before coordinates resolve</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OFF-01</w:t>
            </w:r>
          </w:p>
        </w:tc>
        <w:tc>
          <w:tcPr>
            <w:tcW w:type="dxa" w:w="6408"/>
            <w:vAlign w:val="center"/>
          </w:tcPr>
          <w:p>
            <w:r>
              <w:rPr>
                <w:sz w:val="18"/>
              </w:rPr>
              <w:t>Background geocoding retries with reducing frequency after repeated failure</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OFF-02</w:t>
            </w:r>
          </w:p>
        </w:tc>
        <w:tc>
          <w:tcPr>
            <w:tcW w:type="dxa" w:w="6408"/>
            <w:vAlign w:val="center"/>
          </w:tcPr>
          <w:p>
            <w:r>
              <w:rPr>
                <w:sz w:val="18"/>
              </w:rPr>
              <w:t>Manual app-wide reconnect / retry affordance for offline state</w:t>
            </w:r>
          </w:p>
        </w:tc>
        <w:tc>
          <w:tcPr>
            <w:tcW w:type="dxa" w:w="1152"/>
            <w:vAlign w:val="center"/>
          </w:tcPr>
          <w:p>
            <w:r>
              <w:rPr>
                <w:sz w:val="18"/>
              </w:rPr>
              <w:t>P2</w:t>
            </w:r>
          </w:p>
        </w:tc>
        <w:tc>
          <w:tcPr>
            <w:tcW w:type="dxa" w:w="1584"/>
            <w:vAlign w:val="center"/>
          </w:tcPr>
          <w:p>
            <w:r>
              <w:rPr>
                <w:sz w:val="18"/>
              </w:rPr>
              <w:t>Phase 1</w:t>
            </w:r>
          </w:p>
        </w:tc>
      </w:tr>
      <w:tr>
        <w:tc>
          <w:tcPr>
            <w:tcW w:type="dxa" w:w="1296"/>
            <w:vAlign w:val="center"/>
          </w:tcPr>
          <w:p>
            <w:r>
              <w:rPr>
                <w:sz w:val="18"/>
              </w:rPr>
              <w:t>MP-01</w:t>
            </w:r>
          </w:p>
        </w:tc>
        <w:tc>
          <w:tcPr>
            <w:tcW w:type="dxa" w:w="6408"/>
            <w:vAlign w:val="center"/>
          </w:tcPr>
          <w:p>
            <w:r>
              <w:rPr>
                <w:sz w:val="18"/>
              </w:rPr>
              <w:t>Country shading on map based on visit state</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MP-02</w:t>
            </w:r>
          </w:p>
        </w:tc>
        <w:tc>
          <w:tcPr>
            <w:tcW w:type="dxa" w:w="6408"/>
            <w:vAlign w:val="center"/>
          </w:tcPr>
          <w:p>
            <w:r>
              <w:rPr>
                <w:sz w:val="18"/>
              </w:rPr>
              <w:t>Zoom reveals regions and city pins</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MP-04</w:t>
            </w:r>
          </w:p>
        </w:tc>
        <w:tc>
          <w:tcPr>
            <w:tcW w:type="dxa" w:w="6408"/>
            <w:vAlign w:val="center"/>
          </w:tcPr>
          <w:p>
            <w:r>
              <w:rPr>
                <w:sz w:val="18"/>
              </w:rPr>
              <w:t>Map shading states and colours configurable</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IT-01</w:t>
            </w:r>
          </w:p>
        </w:tc>
        <w:tc>
          <w:tcPr>
            <w:tcW w:type="dxa" w:w="6408"/>
            <w:vAlign w:val="center"/>
          </w:tcPr>
          <w:p>
            <w:r>
              <w:rPr>
                <w:sz w:val="18"/>
              </w:rPr>
              <w:t>Items attach to trip or place</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IT-03</w:t>
            </w:r>
          </w:p>
        </w:tc>
        <w:tc>
          <w:tcPr>
            <w:tcW w:type="dxa" w:w="6408"/>
            <w:vAlign w:val="center"/>
          </w:tcPr>
          <w:p>
            <w:r>
              <w:rPr>
                <w:sz w:val="18"/>
              </w:rPr>
              <w:t>Status workflow on all items</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IT-06</w:t>
            </w:r>
          </w:p>
        </w:tc>
        <w:tc>
          <w:tcPr>
            <w:tcW w:type="dxa" w:w="6408"/>
            <w:vAlign w:val="center"/>
          </w:tcPr>
          <w:p>
            <w:r>
              <w:rPr>
                <w:sz w:val="18"/>
              </w:rPr>
              <w:t>Bulk post-trip status updates</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IT-07</w:t>
            </w:r>
          </w:p>
        </w:tc>
        <w:tc>
          <w:tcPr>
            <w:tcW w:type="dxa" w:w="6408"/>
            <w:vAlign w:val="center"/>
          </w:tcPr>
          <w:p>
            <w:r>
              <w:rPr>
                <w:sz w:val="18"/>
              </w:rPr>
              <w:t>Carry-forward prompt for prior next-time items</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IT-07a</w:t>
            </w:r>
          </w:p>
        </w:tc>
        <w:tc>
          <w:tcPr>
            <w:tcW w:type="dxa" w:w="6408"/>
            <w:vAlign w:val="center"/>
          </w:tcPr>
          <w:p>
            <w:r>
              <w:rPr>
                <w:sz w:val="18"/>
              </w:rPr>
              <w:t>Accepted carry-forward creates new consider item</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IT-07b</w:t>
            </w:r>
          </w:p>
        </w:tc>
        <w:tc>
          <w:tcPr>
            <w:tcW w:type="dxa" w:w="6408"/>
            <w:vAlign w:val="center"/>
          </w:tcPr>
          <w:p>
            <w:r>
              <w:rPr>
                <w:sz w:val="18"/>
              </w:rPr>
              <w:t>Carry-forward item must retain source reference and visible carried-forward flag</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IT-08</w:t>
            </w:r>
          </w:p>
        </w:tc>
        <w:tc>
          <w:tcPr>
            <w:tcW w:type="dxa" w:w="6408"/>
            <w:vAlign w:val="center"/>
          </w:tcPr>
          <w:p>
            <w:r>
              <w:rPr>
                <w:sz w:val="18"/>
              </w:rPr>
              <w:t>Rating sort/filter on completed restaurants, hotels, experiences</w:t>
            </w:r>
          </w:p>
        </w:tc>
        <w:tc>
          <w:tcPr>
            <w:tcW w:type="dxa" w:w="1152"/>
            <w:vAlign w:val="center"/>
          </w:tcPr>
          <w:p>
            <w:r>
              <w:rPr>
                <w:sz w:val="18"/>
              </w:rPr>
              <w:t>P2</w:t>
            </w:r>
          </w:p>
        </w:tc>
        <w:tc>
          <w:tcPr>
            <w:tcW w:type="dxa" w:w="1584"/>
            <w:vAlign w:val="center"/>
          </w:tcPr>
          <w:p>
            <w:r>
              <w:rPr>
                <w:sz w:val="18"/>
              </w:rPr>
              <w:t>Phase 1</w:t>
            </w:r>
          </w:p>
        </w:tc>
      </w:tr>
      <w:tr>
        <w:tc>
          <w:tcPr>
            <w:tcW w:type="dxa" w:w="1296"/>
            <w:vAlign w:val="center"/>
          </w:tcPr>
          <w:p>
            <w:r>
              <w:rPr>
                <w:sz w:val="18"/>
              </w:rPr>
              <w:t>AD-01</w:t>
            </w:r>
          </w:p>
        </w:tc>
        <w:tc>
          <w:tcPr>
            <w:tcW w:type="dxa" w:w="6408"/>
            <w:vAlign w:val="center"/>
          </w:tcPr>
          <w:p>
            <w:r>
              <w:rPr>
                <w:sz w:val="18"/>
              </w:rPr>
              <w:t>Admin panel manages structured lists without developer involvement</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AD-03</w:t>
            </w:r>
          </w:p>
        </w:tc>
        <w:tc>
          <w:tcPr>
            <w:tcW w:type="dxa" w:w="6408"/>
            <w:vAlign w:val="center"/>
          </w:tcPr>
          <w:p>
            <w:r>
              <w:rPr>
                <w:sz w:val="18"/>
              </w:rPr>
              <w:t>Global lists allow add, edit, rename, deactivate</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AD-06</w:t>
            </w:r>
          </w:p>
        </w:tc>
        <w:tc>
          <w:tcPr>
            <w:tcW w:type="dxa" w:w="6408"/>
            <w:vAlign w:val="center"/>
          </w:tcPr>
          <w:p>
            <w:r>
              <w:rPr>
                <w:sz w:val="18"/>
              </w:rPr>
              <w:t>Deactivated values hidden from future use but preserved on historical records</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ADM-01</w:t>
            </w:r>
          </w:p>
        </w:tc>
        <w:tc>
          <w:tcPr>
            <w:tcW w:type="dxa" w:w="6408"/>
            <w:vAlign w:val="center"/>
          </w:tcPr>
          <w:p>
            <w:r>
              <w:rPr>
                <w:sz w:val="18"/>
              </w:rPr>
              <w:t>Destructive global deletes should be implemented as archive/inactivate rather than hard delete</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NF-01</w:t>
            </w:r>
          </w:p>
        </w:tc>
        <w:tc>
          <w:tcPr>
            <w:tcW w:type="dxa" w:w="6408"/>
            <w:vAlign w:val="center"/>
          </w:tcPr>
          <w:p>
            <w:r>
              <w:rPr>
                <w:sz w:val="18"/>
              </w:rPr>
              <w:t>Local-first app works for core features without internet</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NF-03</w:t>
            </w:r>
          </w:p>
        </w:tc>
        <w:tc>
          <w:tcPr>
            <w:tcW w:type="dxa" w:w="6408"/>
            <w:vAlign w:val="center"/>
          </w:tcPr>
          <w:p>
            <w:r>
              <w:rPr>
                <w:sz w:val="18"/>
              </w:rPr>
              <w:t>SQLite for Phase 1</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NF-04</w:t>
            </w:r>
          </w:p>
        </w:tc>
        <w:tc>
          <w:tcPr>
            <w:tcW w:type="dxa" w:w="6408"/>
            <w:vAlign w:val="center"/>
          </w:tcPr>
          <w:p>
            <w:r>
              <w:rPr>
                <w:sz w:val="18"/>
              </w:rPr>
              <w:t>If OneDrive is used, operation must assume no simultaneous multi-device access</w:t>
            </w:r>
          </w:p>
        </w:tc>
        <w:tc>
          <w:tcPr>
            <w:tcW w:type="dxa" w:w="1152"/>
            <w:vAlign w:val="center"/>
          </w:tcPr>
          <w:p>
            <w:r>
              <w:rPr>
                <w:sz w:val="18"/>
              </w:rPr>
              <w:t>P2</w:t>
            </w:r>
          </w:p>
        </w:tc>
        <w:tc>
          <w:tcPr>
            <w:tcW w:type="dxa" w:w="1584"/>
            <w:vAlign w:val="center"/>
          </w:tcPr>
          <w:p>
            <w:r>
              <w:rPr>
                <w:sz w:val="18"/>
              </w:rPr>
              <w:t>Phase 1</w:t>
            </w:r>
          </w:p>
        </w:tc>
      </w:tr>
      <w:tr>
        <w:tc>
          <w:tcPr>
            <w:tcW w:type="dxa" w:w="1296"/>
            <w:vAlign w:val="center"/>
          </w:tcPr>
          <w:p>
            <w:r>
              <w:rPr>
                <w:sz w:val="18"/>
              </w:rPr>
              <w:t>NF-05</w:t>
            </w:r>
          </w:p>
        </w:tc>
        <w:tc>
          <w:tcPr>
            <w:tcW w:type="dxa" w:w="6408"/>
            <w:vAlign w:val="center"/>
          </w:tcPr>
          <w:p>
            <w:r>
              <w:rPr>
                <w:sz w:val="18"/>
              </w:rPr>
              <w:t>Future hosted migration must not require data model rebuild</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NF-07</w:t>
            </w:r>
          </w:p>
        </w:tc>
        <w:tc>
          <w:tcPr>
            <w:tcW w:type="dxa" w:w="6408"/>
            <w:vAlign w:val="center"/>
          </w:tcPr>
          <w:p>
            <w:r>
              <w:rPr>
                <w:sz w:val="18"/>
              </w:rPr>
              <w:t>Future companion access must not require data model rebuild</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ID-01</w:t>
            </w:r>
          </w:p>
        </w:tc>
        <w:tc>
          <w:tcPr>
            <w:tcW w:type="dxa" w:w="6408"/>
            <w:vAlign w:val="center"/>
          </w:tcPr>
          <w:p>
            <w:r>
              <w:rPr>
                <w:sz w:val="18"/>
              </w:rPr>
              <w:t>Preserve dormant account and subscription seams in schema/service layer</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ID-02</w:t>
            </w:r>
          </w:p>
        </w:tc>
        <w:tc>
          <w:tcPr>
            <w:tcW w:type="dxa" w:w="6408"/>
            <w:vAlign w:val="center"/>
          </w:tcPr>
          <w:p>
            <w:r>
              <w:rPr>
                <w:sz w:val="18"/>
              </w:rPr>
              <w:t>Target future model is account + subscription + membership + trip participation</w:t>
            </w:r>
          </w:p>
        </w:tc>
        <w:tc>
          <w:tcPr>
            <w:tcW w:type="dxa" w:w="1152"/>
            <w:vAlign w:val="center"/>
          </w:tcPr>
          <w:p>
            <w:r>
              <w:rPr>
                <w:sz w:val="18"/>
              </w:rPr>
              <w:t>P1</w:t>
            </w:r>
          </w:p>
        </w:tc>
        <w:tc>
          <w:tcPr>
            <w:tcW w:type="dxa" w:w="1584"/>
            <w:vAlign w:val="center"/>
          </w:tcPr>
          <w:p>
            <w:r>
              <w:rPr>
                <w:sz w:val="18"/>
              </w:rPr>
              <w:t>Phase 2 design input</w:t>
            </w:r>
          </w:p>
        </w:tc>
      </w:tr>
      <w:tr>
        <w:tc>
          <w:tcPr>
            <w:tcW w:type="dxa" w:w="1296"/>
            <w:vAlign w:val="center"/>
          </w:tcPr>
          <w:p>
            <w:r>
              <w:rPr>
                <w:sz w:val="18"/>
              </w:rPr>
              <w:t>SEC-01</w:t>
            </w:r>
          </w:p>
        </w:tc>
        <w:tc>
          <w:tcPr>
            <w:tcW w:type="dxa" w:w="6408"/>
            <w:vAlign w:val="center"/>
          </w:tcPr>
          <w:p>
            <w:r>
              <w:rPr>
                <w:sz w:val="18"/>
              </w:rPr>
              <w:t>Helmet and HTTP security headers</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SEC-02</w:t>
            </w:r>
          </w:p>
        </w:tc>
        <w:tc>
          <w:tcPr>
            <w:tcW w:type="dxa" w:w="6408"/>
            <w:vAlign w:val="center"/>
          </w:tcPr>
          <w:p>
            <w:r>
              <w:rPr>
                <w:sz w:val="18"/>
              </w:rPr>
              <w:t>CORS allowlist from day one</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SEC-03</w:t>
            </w:r>
          </w:p>
        </w:tc>
        <w:tc>
          <w:tcPr>
            <w:tcW w:type="dxa" w:w="6408"/>
            <w:vAlign w:val="center"/>
          </w:tcPr>
          <w:p>
            <w:r>
              <w:rPr>
                <w:sz w:val="18"/>
              </w:rPr>
              <w:t>Server binds to 127.0.0.1 by default</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SEC-07</w:t>
            </w:r>
          </w:p>
        </w:tc>
        <w:tc>
          <w:tcPr>
            <w:tcW w:type="dxa" w:w="6408"/>
            <w:vAlign w:val="center"/>
          </w:tcPr>
          <w:p>
            <w:r>
              <w:rPr>
                <w:sz w:val="18"/>
              </w:rPr>
              <w:t>Base API rate limiting</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SEC-08</w:t>
            </w:r>
          </w:p>
        </w:tc>
        <w:tc>
          <w:tcPr>
            <w:tcW w:type="dxa" w:w="6408"/>
            <w:vAlign w:val="center"/>
          </w:tcPr>
          <w:p>
            <w:r>
              <w:rPr>
                <w:sz w:val="18"/>
              </w:rPr>
              <w:t>Structured logging without body logging</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SEC-09</w:t>
            </w:r>
          </w:p>
        </w:tc>
        <w:tc>
          <w:tcPr>
            <w:tcW w:type="dxa" w:w="6408"/>
            <w:vAlign w:val="center"/>
          </w:tcPr>
          <w:p>
            <w:r>
              <w:rPr>
                <w:sz w:val="18"/>
              </w:rPr>
              <w:t>Authentication middleware seam preserved as stub</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SEC-13</w:t>
            </w:r>
          </w:p>
        </w:tc>
        <w:tc>
          <w:tcPr>
            <w:tcW w:type="dxa" w:w="6408"/>
            <w:vAlign w:val="center"/>
          </w:tcPr>
          <w:p>
            <w:r>
              <w:rPr>
                <w:sz w:val="18"/>
              </w:rPr>
              <w:t>CI security gates running before beta</w:t>
            </w:r>
          </w:p>
        </w:tc>
        <w:tc>
          <w:tcPr>
            <w:tcW w:type="dxa" w:w="1152"/>
            <w:vAlign w:val="center"/>
          </w:tcPr>
          <w:p>
            <w:r>
              <w:rPr>
                <w:sz w:val="18"/>
              </w:rPr>
              <w:t>P1</w:t>
            </w:r>
          </w:p>
        </w:tc>
        <w:tc>
          <w:tcPr>
            <w:tcW w:type="dxa" w:w="1584"/>
            <w:vAlign w:val="center"/>
          </w:tcPr>
          <w:p>
            <w:r>
              <w:rPr>
                <w:sz w:val="18"/>
              </w:rPr>
              <w:t>Phase 1</w:t>
            </w:r>
          </w:p>
        </w:tc>
      </w:tr>
      <w:tr>
        <w:tc>
          <w:tcPr>
            <w:tcW w:type="dxa" w:w="1296"/>
            <w:vAlign w:val="center"/>
          </w:tcPr>
          <w:p>
            <w:r>
              <w:rPr>
                <w:sz w:val="18"/>
              </w:rPr>
              <w:t>HST-01</w:t>
            </w:r>
          </w:p>
        </w:tc>
        <w:tc>
          <w:tcPr>
            <w:tcW w:type="dxa" w:w="6408"/>
            <w:vAlign w:val="center"/>
          </w:tcPr>
          <w:p>
            <w:r>
              <w:rPr>
                <w:sz w:val="18"/>
              </w:rPr>
              <w:t>Hosted auth, TLS, authz, audit logging, and pentest before hosted release</w:t>
            </w:r>
          </w:p>
        </w:tc>
        <w:tc>
          <w:tcPr>
            <w:tcW w:type="dxa" w:w="1152"/>
            <w:vAlign w:val="center"/>
          </w:tcPr>
          <w:p>
            <w:r>
              <w:rPr>
                <w:sz w:val="18"/>
              </w:rPr>
              <w:t>P1</w:t>
            </w:r>
          </w:p>
        </w:tc>
        <w:tc>
          <w:tcPr>
            <w:tcW w:type="dxa" w:w="1584"/>
            <w:vAlign w:val="center"/>
          </w:tcPr>
          <w:p>
            <w:r>
              <w:rPr>
                <w:sz w:val="18"/>
              </w:rPr>
              <w:t>Phase 2</w:t>
            </w:r>
          </w:p>
        </w:tc>
      </w:tr>
      <w:tr>
        <w:tc>
          <w:tcPr>
            <w:tcW w:type="dxa" w:w="1296"/>
            <w:vAlign w:val="center"/>
          </w:tcPr>
          <w:p>
            <w:r>
              <w:rPr>
                <w:sz w:val="18"/>
              </w:rPr>
              <w:t>ACL-01</w:t>
            </w:r>
          </w:p>
        </w:tc>
        <w:tc>
          <w:tcPr>
            <w:tcW w:type="dxa" w:w="6408"/>
            <w:vAlign w:val="center"/>
          </w:tcPr>
          <w:p>
            <w:r>
              <w:rPr>
                <w:sz w:val="18"/>
              </w:rPr>
              <w:t>Companion roles and invite model before companion access</w:t>
            </w:r>
          </w:p>
        </w:tc>
        <w:tc>
          <w:tcPr>
            <w:tcW w:type="dxa" w:w="1152"/>
            <w:vAlign w:val="center"/>
          </w:tcPr>
          <w:p>
            <w:r>
              <w:rPr>
                <w:sz w:val="18"/>
              </w:rPr>
              <w:t>P1</w:t>
            </w:r>
          </w:p>
        </w:tc>
        <w:tc>
          <w:tcPr>
            <w:tcW w:type="dxa" w:w="1584"/>
            <w:vAlign w:val="center"/>
          </w:tcPr>
          <w:p>
            <w:r>
              <w:rPr>
                <w:sz w:val="18"/>
              </w:rPr>
              <w:t>Phase 3</w:t>
            </w:r>
          </w:p>
        </w:tc>
      </w:tr>
      <w:tr>
        <w:tc>
          <w:tcPr>
            <w:tcW w:type="dxa" w:w="1296"/>
            <w:vAlign w:val="center"/>
          </w:tcPr>
          <w:p>
            <w:r>
              <w:rPr>
                <w:sz w:val="18"/>
              </w:rPr>
              <w:t>ACL-02</w:t>
            </w:r>
          </w:p>
        </w:tc>
        <w:tc>
          <w:tcPr>
            <w:tcW w:type="dxa" w:w="6408"/>
            <w:vAlign w:val="center"/>
          </w:tcPr>
          <w:p>
            <w:r>
              <w:rPr>
                <w:sz w:val="18"/>
              </w:rPr>
              <w:t>Subscription-level admin separated from trip-level manager/editor permissions</w:t>
            </w:r>
          </w:p>
        </w:tc>
        <w:tc>
          <w:tcPr>
            <w:tcW w:type="dxa" w:w="1152"/>
            <w:vAlign w:val="center"/>
          </w:tcPr>
          <w:p>
            <w:r>
              <w:rPr>
                <w:sz w:val="18"/>
              </w:rPr>
              <w:t>P1</w:t>
            </w:r>
          </w:p>
        </w:tc>
        <w:tc>
          <w:tcPr>
            <w:tcW w:type="dxa" w:w="1584"/>
            <w:vAlign w:val="center"/>
          </w:tcPr>
          <w:p>
            <w:r>
              <w:rPr>
                <w:sz w:val="18"/>
              </w:rPr>
              <w:t>Phase 3</w:t>
            </w:r>
          </w:p>
        </w:tc>
      </w:tr>
    </w:tbl>
    <w:p/>
    <w:p>
      <w:pPr>
        <w:pStyle w:val="Heading1"/>
      </w:pPr>
      <w:r>
        <w:t>Implementation guardrails</w:t>
      </w:r>
    </w:p>
    <w:p>
      <w:pPr>
        <w:pStyle w:val="ListBullet"/>
      </w:pPr>
      <w:r>
        <w:t>No hosted deployment or shared user access before the relevant phase gate is met.</w:t>
      </w:r>
    </w:p>
    <w:p>
      <w:pPr>
        <w:pStyle w:val="ListBullet"/>
      </w:pPr>
      <w:r>
        <w:t>No hard delete of global reference values that are already in use; retire values instead.</w:t>
      </w:r>
    </w:p>
    <w:p>
      <w:pPr>
        <w:pStyle w:val="ListBullet"/>
      </w:pPr>
      <w:r>
        <w:t>No string-concatenated SQL; ORM parameterization only.</w:t>
      </w:r>
    </w:p>
    <w:p>
      <w:pPr>
        <w:pStyle w:val="ListBullet"/>
      </w:pPr>
      <w:r>
        <w:t>No dangerouslySetInnerHTML or equivalent HTML injection paths in the frontend.</w:t>
      </w:r>
    </w:p>
    <w:p>
      <w:pPr>
        <w:pStyle w:val="ListBullet"/>
      </w:pPr>
      <w:r>
        <w:t>No release sign-off without explicit test evidence for carry-forward, lock/unlock, city patching, and map shading logic.</w:t>
      </w:r>
    </w:p>
    <w:p>
      <w:pPr>
        <w:pStyle w:val="Heading1"/>
      </w:pPr>
      <w:r>
        <w:t>Operational delivery changes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088"/>
            <w:vAlign w:val="center"/>
            <w:shd w:fill="D9EAF7"/>
          </w:tcPr>
          <w:p>
            <w:r>
              <w:rPr>
                <w:b/>
                <w:sz w:val="18"/>
              </w:rPr>
              <w:t>Change</w:t>
            </w:r>
          </w:p>
        </w:tc>
        <w:tc>
          <w:tcPr>
            <w:tcW w:type="dxa" w:w="7848"/>
            <w:vAlign w:val="center"/>
            <w:shd w:fill="D9EAF7"/>
          </w:tcPr>
          <w:p>
            <w:r>
              <w:rPr>
                <w:b/>
                <w:sz w:val="18"/>
              </w:rPr>
              <w:t>Required action</w:t>
            </w:r>
          </w:p>
        </w:tc>
      </w:tr>
      <w:tr>
        <w:tc>
          <w:tcPr>
            <w:tcW w:type="dxa" w:w="2088"/>
            <w:vAlign w:val="center"/>
          </w:tcPr>
          <w:p>
            <w:r>
              <w:rPr>
                <w:sz w:val="18"/>
              </w:rPr>
              <w:t>QA timing</w:t>
            </w:r>
          </w:p>
        </w:tc>
        <w:tc>
          <w:tcPr>
            <w:tcW w:type="dxa" w:w="7848"/>
            <w:vAlign w:val="center"/>
          </w:tcPr>
          <w:p>
            <w:r>
              <w:rPr>
                <w:sz w:val="18"/>
              </w:rPr>
              <w:t>Start QA during development using API and workflow scenarios.</w:t>
            </w:r>
          </w:p>
        </w:tc>
      </w:tr>
      <w:tr>
        <w:tc>
          <w:tcPr>
            <w:tcW w:type="dxa" w:w="2088"/>
            <w:vAlign w:val="center"/>
          </w:tcPr>
          <w:p>
            <w:r>
              <w:rPr>
                <w:sz w:val="18"/>
              </w:rPr>
              <w:t>Unit testing</w:t>
            </w:r>
          </w:p>
        </w:tc>
        <w:tc>
          <w:tcPr>
            <w:tcW w:type="dxa" w:w="7848"/>
            <w:vAlign w:val="center"/>
          </w:tcPr>
          <w:p>
            <w:r>
              <w:rPr>
                <w:sz w:val="18"/>
              </w:rPr>
              <w:t>Keep developer unit tests, but do not use them as the only release evidence.</w:t>
            </w:r>
          </w:p>
        </w:tc>
      </w:tr>
      <w:tr>
        <w:tc>
          <w:tcPr>
            <w:tcW w:type="dxa" w:w="2088"/>
            <w:vAlign w:val="center"/>
          </w:tcPr>
          <w:p>
            <w:r>
              <w:rPr>
                <w:sz w:val="18"/>
              </w:rPr>
              <w:t>Contract testing</w:t>
            </w:r>
          </w:p>
        </w:tc>
        <w:tc>
          <w:tcPr>
            <w:tcW w:type="dxa" w:w="7848"/>
            <w:vAlign w:val="center"/>
          </w:tcPr>
          <w:p>
            <w:r>
              <w:rPr>
                <w:sz w:val="18"/>
              </w:rPr>
              <w:t>Add API contract tests for validation, locked-trip behavior, and carry-forward routes.</w:t>
            </w:r>
          </w:p>
        </w:tc>
      </w:tr>
      <w:tr>
        <w:tc>
          <w:tcPr>
            <w:tcW w:type="dxa" w:w="2088"/>
            <w:vAlign w:val="center"/>
          </w:tcPr>
          <w:p>
            <w:r>
              <w:rPr>
                <w:sz w:val="18"/>
              </w:rPr>
              <w:t>Workflow testing</w:t>
            </w:r>
          </w:p>
        </w:tc>
        <w:tc>
          <w:tcPr>
            <w:tcW w:type="dxa" w:w="7848"/>
            <w:vAlign w:val="center"/>
          </w:tcPr>
          <w:p>
            <w:r>
              <w:rPr>
                <w:sz w:val="18"/>
              </w:rPr>
              <w:t>Add end-to-end scenarios for create trip, review, lock/unlock, carry forward, city patch, and offline recovery.</w:t>
            </w:r>
          </w:p>
        </w:tc>
      </w:tr>
      <w:tr>
        <w:tc>
          <w:tcPr>
            <w:tcW w:type="dxa" w:w="2088"/>
            <w:vAlign w:val="center"/>
          </w:tcPr>
          <w:p>
            <w:r>
              <w:rPr>
                <w:sz w:val="18"/>
              </w:rPr>
              <w:t>Release sign-off</w:t>
            </w:r>
          </w:p>
        </w:tc>
        <w:tc>
          <w:tcPr>
            <w:tcW w:type="dxa" w:w="7848"/>
            <w:vAlign w:val="center"/>
          </w:tcPr>
          <w:p>
            <w:r>
              <w:rPr>
                <w:sz w:val="18"/>
              </w:rPr>
              <w:t>Require test evidence and explicit closure of backend corrections C1-C3.</w:t>
            </w:r>
          </w:p>
        </w:tc>
      </w:tr>
    </w:tbl>
    <w:p/>
    <w:p>
      <w:pPr>
        <w:pStyle w:val="Heading1"/>
      </w:pPr>
      <w:r>
        <w:t>Out of scope by phase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464"/>
            <w:vAlign w:val="center"/>
            <w:shd w:fill="D9EAF7"/>
          </w:tcPr>
          <w:p>
            <w:r>
              <w:rPr>
                <w:b/>
                <w:sz w:val="18"/>
              </w:rPr>
              <w:t>Item</w:t>
            </w:r>
          </w:p>
        </w:tc>
        <w:tc>
          <w:tcPr>
            <w:tcW w:type="dxa" w:w="5472"/>
            <w:vAlign w:val="center"/>
            <w:shd w:fill="D9EAF7"/>
          </w:tcPr>
          <w:p>
            <w:r>
              <w:rPr>
                <w:b/>
                <w:sz w:val="18"/>
              </w:rPr>
              <w:t>Status</w:t>
            </w:r>
          </w:p>
        </w:tc>
      </w:tr>
      <w:tr>
        <w:tc>
          <w:tcPr>
            <w:tcW w:type="dxa" w:w="4464"/>
            <w:vAlign w:val="center"/>
          </w:tcPr>
          <w:p>
            <w:r>
              <w:rPr>
                <w:sz w:val="18"/>
              </w:rPr>
              <w:t>Push notifications and reminders</w:t>
            </w:r>
          </w:p>
        </w:tc>
        <w:tc>
          <w:tcPr>
            <w:tcW w:type="dxa" w:w="5472"/>
            <w:vAlign w:val="center"/>
          </w:tcPr>
          <w:p>
            <w:r>
              <w:rPr>
                <w:sz w:val="18"/>
              </w:rPr>
              <w:t>Out of Phase 1; Phase 2 candidate.</w:t>
            </w:r>
          </w:p>
        </w:tc>
      </w:tr>
      <w:tr>
        <w:tc>
          <w:tcPr>
            <w:tcW w:type="dxa" w:w="4464"/>
            <w:vAlign w:val="center"/>
          </w:tcPr>
          <w:p>
            <w:r>
              <w:rPr>
                <w:sz w:val="18"/>
              </w:rPr>
              <w:t>Hosted web deployment</w:t>
            </w:r>
          </w:p>
        </w:tc>
        <w:tc>
          <w:tcPr>
            <w:tcW w:type="dxa" w:w="5472"/>
            <w:vAlign w:val="center"/>
          </w:tcPr>
          <w:p>
            <w:r>
              <w:rPr>
                <w:sz w:val="18"/>
              </w:rPr>
              <w:t>Out of Phase 1; Phase 2 only after hosted security gate.</w:t>
            </w:r>
          </w:p>
        </w:tc>
      </w:tr>
      <w:tr>
        <w:tc>
          <w:tcPr>
            <w:tcW w:type="dxa" w:w="4464"/>
            <w:vAlign w:val="center"/>
          </w:tcPr>
          <w:p>
            <w:r>
              <w:rPr>
                <w:sz w:val="18"/>
              </w:rPr>
              <w:t>Companion access / read-only / edit sharing</w:t>
            </w:r>
          </w:p>
        </w:tc>
        <w:tc>
          <w:tcPr>
            <w:tcW w:type="dxa" w:w="5472"/>
            <w:vAlign w:val="center"/>
          </w:tcPr>
          <w:p>
            <w:r>
              <w:rPr>
                <w:sz w:val="18"/>
              </w:rPr>
              <w:t>Out of Phase 1; Phase 3 only after access-control model exists.</w:t>
            </w:r>
          </w:p>
        </w:tc>
      </w:tr>
      <w:tr>
        <w:tc>
          <w:tcPr>
            <w:tcW w:type="dxa" w:w="4464"/>
            <w:vAlign w:val="center"/>
          </w:tcPr>
          <w:p>
            <w:r>
              <w:rPr>
                <w:sz w:val="18"/>
              </w:rPr>
              <w:t>Real-time multi-user sync</w:t>
            </w:r>
          </w:p>
        </w:tc>
        <w:tc>
          <w:tcPr>
            <w:tcW w:type="dxa" w:w="5472"/>
            <w:vAlign w:val="center"/>
          </w:tcPr>
          <w:p>
            <w:r>
              <w:rPr>
                <w:sz w:val="18"/>
              </w:rPr>
              <w:t>Out of Phase 1; future hosted capability.</w:t>
            </w:r>
          </w:p>
        </w:tc>
      </w:tr>
      <w:tr>
        <w:tc>
          <w:tcPr>
            <w:tcW w:type="dxa" w:w="4464"/>
            <w:vAlign w:val="center"/>
          </w:tcPr>
          <w:p>
            <w:r>
              <w:rPr>
                <w:sz w:val="18"/>
              </w:rPr>
              <w:t>Mobile app</w:t>
            </w:r>
          </w:p>
        </w:tc>
        <w:tc>
          <w:tcPr>
            <w:tcW w:type="dxa" w:w="5472"/>
            <w:vAlign w:val="center"/>
          </w:tcPr>
          <w:p>
            <w:r>
              <w:rPr>
                <w:sz w:val="18"/>
              </w:rPr>
              <w:t>Out of Phase 1; later phase.</w:t>
            </w:r>
          </w:p>
        </w:tc>
      </w:tr>
    </w:tbl>
    <w:p/>
    <w:p>
      <w:pPr>
        <w:pStyle w:val="Heading1"/>
      </w:pPr>
      <w:r>
        <w:t>Acceptance conditions for Phase 1 beta</w:t>
      </w:r>
    </w:p>
    <w:p>
      <w:pPr>
        <w:pStyle w:val="ListNumber"/>
      </w:pPr>
      <w:r>
        <w:t>Core trip, place, item, map, review, and admin workflows implemented.</w:t>
      </w:r>
    </w:p>
    <w:p>
      <w:pPr>
        <w:pStyle w:val="ListNumber"/>
      </w:pPr>
      <w:r>
        <w:t>Backend corrections C1-C3 complete and regression tested.</w:t>
      </w:r>
    </w:p>
    <w:p>
      <w:pPr>
        <w:pStyle w:val="ListNumber"/>
      </w:pPr>
      <w:r>
        <w:t>Phase 1 security controls implemented per the security specification.</w:t>
      </w:r>
    </w:p>
    <w:p>
      <w:pPr>
        <w:pStyle w:val="ListNumber"/>
      </w:pPr>
      <w:r>
        <w:t>QA test plan, execution evidence, and defect disposition completed.</w:t>
      </w:r>
    </w:p>
    <w:p>
      <w:pPr>
        <w:pStyle w:val="ListNumber"/>
      </w:pPr>
      <w:r>
        <w:t>No open P1 defects in trip state logic, carry-forward, city management, or map shading.</w:t>
      </w:r>
    </w:p>
    <w:p>
      <w:pPr>
        <w:pStyle w:val="Heading1"/>
      </w:pPr>
      <w:r>
        <w:t>Source alignment note</w:t>
      </w:r>
    </w:p>
    <w:p>
      <w:r>
        <w:t>This BRD supersedes earlier wording where necessary to reflect the PO clarifications from the audit interview, especially around soft lock behavior, future account/subscription architecture, global-vs-trip admin boundaries, and operational testing changes.</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