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Travel Tracker Project Audit</w:t>
      </w:r>
    </w:p>
    <w:p>
      <w:pPr>
        <w:jc w:val="center"/>
      </w:pPr>
      <w:r>
        <w:rPr>
          <w:i/>
          <w:color w:val="5A5A5A"/>
          <w:sz w:val="20"/>
        </w:rPr>
        <w:t>Architecture, delivery, security, scalability, and operational review — prepared for COO implementation</w:t>
      </w:r>
    </w:p>
    <w:p/>
    <w:p>
      <w:r>
        <w:rPr>
          <w:b/>
        </w:rPr>
        <w:t xml:space="preserve">Inputs reviewed: </w:t>
      </w:r>
      <w:r>
        <w:t>project plan v1.2, dependency graph v1.2, BRD v2.3, backend API reference v1.1, security specification, security backlog, and the PO clarifications captured in this interview.</w:t>
      </w:r>
    </w:p>
    <w:p>
      <w:pPr>
        <w:pStyle w:val="Heading1"/>
      </w:pPr>
      <w:r>
        <w:t>Executive summary</w:t>
      </w:r>
    </w:p>
    <w:p>
      <w:r>
        <w:t>The project is viable for a single-user Phase 1 beta and is better specified than most greenfield internal builds. The architecture is coherent, the API contract is explicit, and the security posture is sensibly phase-gated. The main risks are not fundamental design flaws; they are transition risks: moving from single-user local beta to shared hosted access, over-reliance on late QA, and a few assumptions that need to be locked down now to avoid Phase 2 rework.</w:t>
      </w:r>
    </w:p>
    <w:p>
      <w:pPr>
        <w:pStyle w:val="Heading1"/>
      </w:pPr>
      <w:r>
        <w:t>Overall audit rating</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2160"/>
            <w:vAlign w:val="center"/>
            <w:shd w:fill="D9EAF7"/>
          </w:tcPr>
          <w:p>
            <w:r>
              <w:rPr>
                <w:b/>
                <w:sz w:val="19"/>
              </w:rPr>
              <w:t>Area</w:t>
            </w:r>
          </w:p>
        </w:tc>
        <w:tc>
          <w:tcPr>
            <w:tcW w:type="dxa" w:w="1800"/>
            <w:vAlign w:val="center"/>
            <w:shd w:fill="D9EAF7"/>
          </w:tcPr>
          <w:p>
            <w:r>
              <w:rPr>
                <w:b/>
                <w:sz w:val="19"/>
              </w:rPr>
              <w:t>Assessment</w:t>
            </w:r>
          </w:p>
        </w:tc>
        <w:tc>
          <w:tcPr>
            <w:tcW w:type="dxa" w:w="6336"/>
            <w:vAlign w:val="center"/>
            <w:shd w:fill="D9EAF7"/>
          </w:tcPr>
          <w:p>
            <w:r>
              <w:rPr>
                <w:b/>
                <w:sz w:val="19"/>
              </w:rPr>
              <w:t>Reason</w:t>
            </w:r>
          </w:p>
        </w:tc>
      </w:tr>
      <w:tr>
        <w:tc>
          <w:tcPr>
            <w:tcW w:type="dxa" w:w="2160"/>
            <w:vAlign w:val="center"/>
          </w:tcPr>
          <w:p>
            <w:r>
              <w:rPr>
                <w:sz w:val="19"/>
              </w:rPr>
              <w:t>Architecture</w:t>
            </w:r>
          </w:p>
        </w:tc>
        <w:tc>
          <w:tcPr>
            <w:tcW w:type="dxa" w:w="1800"/>
            <w:vAlign w:val="center"/>
          </w:tcPr>
          <w:p>
            <w:r>
              <w:rPr>
                <w:sz w:val="19"/>
              </w:rPr>
              <w:t>Strong for Phase 1</w:t>
            </w:r>
          </w:p>
        </w:tc>
        <w:tc>
          <w:tcPr>
            <w:tcW w:type="dxa" w:w="6336"/>
            <w:vAlign w:val="center"/>
          </w:tcPr>
          <w:p>
            <w:r>
              <w:rPr>
                <w:sz w:val="19"/>
              </w:rPr>
              <w:t>Clear domain model, explicit API contract, phase-aware security, and future migration intent.</w:t>
            </w:r>
          </w:p>
        </w:tc>
      </w:tr>
      <w:tr>
        <w:tc>
          <w:tcPr>
            <w:tcW w:type="dxa" w:w="2160"/>
            <w:vAlign w:val="center"/>
          </w:tcPr>
          <w:p>
            <w:r>
              <w:rPr>
                <w:sz w:val="19"/>
              </w:rPr>
              <w:t>Security</w:t>
            </w:r>
          </w:p>
        </w:tc>
        <w:tc>
          <w:tcPr>
            <w:tcW w:type="dxa" w:w="1800"/>
            <w:vAlign w:val="center"/>
          </w:tcPr>
          <w:p>
            <w:r>
              <w:rPr>
                <w:sz w:val="19"/>
              </w:rPr>
              <w:t>Adequate for local beta</w:t>
            </w:r>
          </w:p>
        </w:tc>
        <w:tc>
          <w:tcPr>
            <w:tcW w:type="dxa" w:w="6336"/>
            <w:vAlign w:val="center"/>
          </w:tcPr>
          <w:p>
            <w:r>
              <w:rPr>
                <w:sz w:val="19"/>
              </w:rPr>
              <w:t>Phase 1 controls are defined; stronger controls are correctly deferred to hosted and multi-user phases.</w:t>
            </w:r>
          </w:p>
        </w:tc>
      </w:tr>
      <w:tr>
        <w:tc>
          <w:tcPr>
            <w:tcW w:type="dxa" w:w="2160"/>
            <w:vAlign w:val="center"/>
          </w:tcPr>
          <w:p>
            <w:r>
              <w:rPr>
                <w:sz w:val="19"/>
              </w:rPr>
              <w:t>Scalability</w:t>
            </w:r>
          </w:p>
        </w:tc>
        <w:tc>
          <w:tcPr>
            <w:tcW w:type="dxa" w:w="1800"/>
            <w:vAlign w:val="center"/>
          </w:tcPr>
          <w:p>
            <w:r>
              <w:rPr>
                <w:sz w:val="19"/>
              </w:rPr>
              <w:t>Reasonable with caveats</w:t>
            </w:r>
          </w:p>
        </w:tc>
        <w:tc>
          <w:tcPr>
            <w:tcW w:type="dxa" w:w="6336"/>
            <w:vAlign w:val="center"/>
          </w:tcPr>
          <w:p>
            <w:r>
              <w:rPr>
                <w:sz w:val="19"/>
              </w:rPr>
              <w:t>Current scope fits SQLite/local mode, but ownership and subscription seams must be preserved now.</w:t>
            </w:r>
          </w:p>
        </w:tc>
      </w:tr>
      <w:tr>
        <w:tc>
          <w:tcPr>
            <w:tcW w:type="dxa" w:w="2160"/>
            <w:vAlign w:val="center"/>
          </w:tcPr>
          <w:p>
            <w:r>
              <w:rPr>
                <w:sz w:val="19"/>
              </w:rPr>
              <w:t>Delivery</w:t>
            </w:r>
          </w:p>
        </w:tc>
        <w:tc>
          <w:tcPr>
            <w:tcW w:type="dxa" w:w="1800"/>
            <w:vAlign w:val="center"/>
          </w:tcPr>
          <w:p>
            <w:r>
              <w:rPr>
                <w:sz w:val="19"/>
              </w:rPr>
              <w:t>At risk of late-cycle compression</w:t>
            </w:r>
          </w:p>
        </w:tc>
        <w:tc>
          <w:tcPr>
            <w:tcW w:type="dxa" w:w="6336"/>
            <w:vAlign w:val="center"/>
          </w:tcPr>
          <w:p>
            <w:r>
              <w:rPr>
                <w:sz w:val="19"/>
              </w:rPr>
              <w:t>QA and docs are scheduled after frontend completion, which will compress test depth and sign-off.</w:t>
            </w:r>
          </w:p>
        </w:tc>
      </w:tr>
      <w:tr>
        <w:tc>
          <w:tcPr>
            <w:tcW w:type="dxa" w:w="2160"/>
            <w:vAlign w:val="center"/>
          </w:tcPr>
          <w:p>
            <w:r>
              <w:rPr>
                <w:sz w:val="19"/>
              </w:rPr>
              <w:t>Auditability</w:t>
            </w:r>
          </w:p>
        </w:tc>
        <w:tc>
          <w:tcPr>
            <w:tcW w:type="dxa" w:w="1800"/>
            <w:vAlign w:val="center"/>
          </w:tcPr>
          <w:p>
            <w:r>
              <w:rPr>
                <w:sz w:val="19"/>
              </w:rPr>
              <w:t>Sufficient for Phase 1 only</w:t>
            </w:r>
          </w:p>
        </w:tc>
        <w:tc>
          <w:tcPr>
            <w:tcW w:type="dxa" w:w="6336"/>
            <w:vAlign w:val="center"/>
          </w:tcPr>
          <w:p>
            <w:r>
              <w:rPr>
                <w:sz w:val="19"/>
              </w:rPr>
              <w:t>Full audit history is overkill now, but the model should preserve created/updated ownership seams.</w:t>
            </w:r>
          </w:p>
        </w:tc>
      </w:tr>
    </w:tbl>
    <w:p/>
    <w:p>
      <w:pPr>
        <w:pStyle w:val="Heading1"/>
      </w:pPr>
      <w:r>
        <w:t>Findings and recommendations</w:t>
      </w:r>
    </w:p>
    <w:p>
      <w:pPr>
        <w:pStyle w:val="Heading2"/>
      </w:pPr>
      <w:r>
        <w:t>1. Phase 1 boundary is valid, but the project must preserve Phase 2 seams now</w:t>
      </w:r>
    </w:p>
    <w:p>
      <w:r>
        <w:rPr>
          <w:b/>
        </w:rPr>
        <w:t xml:space="preserve">Finding: </w:t>
      </w:r>
      <w:r>
        <w:t>Your clarified target is single-user only until Phase 1 is proven. That is a defensible boundary. The risk is not under-building; it is letting the Phase 1 codebase assume there is only ever one undifferentiated user. Preserve dormant subscription and account seams now so shared access later is additive rather than reconstructive.</w:t>
      </w:r>
    </w:p>
    <w:p>
      <w:r>
        <w:rPr>
          <w:b/>
        </w:rPr>
        <w:t xml:space="preserve">Action: </w:t>
      </w:r>
      <w:r>
        <w:t>Add subscription_id and owner_account_id to the schema now; preserve created_by_account_id and updated_by_account_id where cheap; keep settings clearly subscription-scoped and trip operations trip-scoped.</w:t>
      </w:r>
    </w:p>
    <w:p>
      <w:pPr>
        <w:pStyle w:val="Heading2"/>
      </w:pPr>
      <w:r>
        <w:t>2. Individual accounts under a subscription are the right long-term model</w:t>
      </w:r>
    </w:p>
    <w:p>
      <w:r>
        <w:rPr>
          <w:b/>
        </w:rPr>
        <w:t xml:space="preserve">Finding: </w:t>
      </w:r>
      <w:r>
        <w:t>The future requirement is not simply “companions can see trips.” It is “people can have their own private trips and also participate in shared trips.” That requires individual identity, subscription membership, and trip participation as distinct concepts.</w:t>
      </w:r>
    </w:p>
    <w:p>
      <w:r>
        <w:rPr>
          <w:b/>
        </w:rPr>
        <w:t xml:space="preserve">Action: </w:t>
      </w:r>
      <w:r>
        <w:t>Adopt the target model: accounts, subscriptions, subscription_memberships, trips, and trip_participants. Do not use a shared family account model.</w:t>
      </w:r>
    </w:p>
    <w:p>
      <w:pPr>
        <w:pStyle w:val="Heading2"/>
      </w:pPr>
      <w:r>
        <w:t>3. Delegated admin is a future governance risk if scoped too broadly</w:t>
      </w:r>
    </w:p>
    <w:p>
      <w:r>
        <w:rPr>
          <w:b/>
        </w:rPr>
        <w:t xml:space="preserve">Finding: </w:t>
      </w:r>
      <w:r>
        <w:t>Global settings such as categories, countries, region behavior, and map shading affect every trip in the subscription, including historical records. A companion helping on one trip should not automatically gain the ability to mutate app-wide configuration.</w:t>
      </w:r>
    </w:p>
    <w:p>
      <w:r>
        <w:rPr>
          <w:b/>
        </w:rPr>
        <w:t xml:space="preserve">Action: </w:t>
      </w:r>
      <w:r>
        <w:t>Separate subscription-level administration from trip-level management. Use archive/inactivate rather than hard delete for global reference data.</w:t>
      </w:r>
    </w:p>
    <w:p>
      <w:pPr>
        <w:pStyle w:val="Heading2"/>
      </w:pPr>
      <w:r>
        <w:t>4. OneDrive live-sync should not become the default persistence strategy</w:t>
      </w:r>
    </w:p>
    <w:p>
      <w:r>
        <w:rPr>
          <w:b/>
        </w:rPr>
        <w:t xml:space="preserve">Finding: </w:t>
      </w:r>
      <w:r>
        <w:t>The current BRD says the SQLite database can be stored in OneDrive for single-user sync across devices. That is workable only if device switching is deliberate and there is no simultaneous use. It remains a known integrity risk if a live SQLite file is synced casually.</w:t>
      </w:r>
    </w:p>
    <w:p>
      <w:r>
        <w:rPr>
          <w:b/>
        </w:rPr>
        <w:t xml:space="preserve">Action: </w:t>
      </w:r>
      <w:r>
        <w:t>Do not position live cloud-synced SQLite as the preferred operating model. Prefer local-first DB plus controlled backup/export sync, or document strict single-device-open behavior until hosted sync exists.</w:t>
      </w:r>
    </w:p>
    <w:p>
      <w:pPr>
        <w:pStyle w:val="Heading2"/>
      </w:pPr>
      <w:r>
        <w:t>5. QA is engaged too late in the current delivery model</w:t>
      </w:r>
    </w:p>
    <w:p>
      <w:r>
        <w:rPr>
          <w:b/>
        </w:rPr>
        <w:t xml:space="preserve">Finding: </w:t>
      </w:r>
      <w:r>
        <w:t>The current plan blocks QA until frontend core features are complete. That is the classic shape of compressed testing, shallow regression coverage, and avoidable defect escape.</w:t>
      </w:r>
    </w:p>
    <w:p>
      <w:r>
        <w:rPr>
          <w:b/>
        </w:rPr>
        <w:t xml:space="preserve">Action: </w:t>
      </w:r>
      <w:r>
        <w:t>Start QA now using API and workflow artifacts. Build contract tests, scenario-based test packs, and regression cases in parallel with frontend completion.</w:t>
      </w:r>
    </w:p>
    <w:p>
      <w:pPr>
        <w:pStyle w:val="Heading2"/>
      </w:pPr>
      <w:r>
        <w:t>6. Backend correction items C1-C3 are release-relevant, not cosmetic</w:t>
      </w:r>
    </w:p>
    <w:p>
      <w:r>
        <w:rPr>
          <w:b/>
        </w:rPr>
        <w:t xml:space="preserve">Finding: </w:t>
      </w:r>
      <w:r>
        <w:t>Carry-forward execution, city patch behavior, and city POST rate limiting all sit on important business or control seams. Leaving them as minor tidy-up work understates their importance.</w:t>
      </w:r>
    </w:p>
    <w:p>
      <w:r>
        <w:rPr>
          <w:b/>
        </w:rPr>
        <w:t xml:space="preserve">Action: </w:t>
      </w:r>
      <w:r>
        <w:t>Treat C1-C3 as release-critical closure items with explicit test evidence before sign-off.</w:t>
      </w:r>
    </w:p>
    <w:p>
      <w:pPr>
        <w:pStyle w:val="Heading2"/>
      </w:pPr>
      <w:r>
        <w:t>7. Offline/geocoding behavior needs a tighter product rule set</w:t>
      </w:r>
    </w:p>
    <w:p>
      <w:r>
        <w:rPr>
          <w:b/>
        </w:rPr>
        <w:t xml:space="preserve">Finding: </w:t>
      </w:r>
      <w:r>
        <w:t>The product intent is clear: silent retries with decreasing frequency and a manual reconnect affordance. That is sound, but it needs executable rules or different parts of the stack will behave inconsistently.</w:t>
      </w:r>
    </w:p>
    <w:p>
      <w:r>
        <w:rPr>
          <w:b/>
        </w:rPr>
        <w:t xml:space="preserve">Action: </w:t>
      </w:r>
      <w:r>
        <w:t>Specify retry classes, initial retry cadence, maximum backoff, restart persistence, user-visible “offline / retry now” state, and what constitutes a permanent failure.</w:t>
      </w:r>
    </w:p>
    <w:p>
      <w:pPr>
        <w:pStyle w:val="Heading1"/>
      </w:pPr>
      <w:r>
        <w:t>Operational changes required</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2160"/>
            <w:vAlign w:val="center"/>
            <w:shd w:fill="D9EAF7"/>
          </w:tcPr>
          <w:p>
            <w:r>
              <w:rPr>
                <w:b/>
                <w:sz w:val="19"/>
              </w:rPr>
              <w:t>Operational area</w:t>
            </w:r>
          </w:p>
        </w:tc>
        <w:tc>
          <w:tcPr>
            <w:tcW w:type="dxa" w:w="3024"/>
            <w:vAlign w:val="center"/>
            <w:shd w:fill="D9EAF7"/>
          </w:tcPr>
          <w:p>
            <w:r>
              <w:rPr>
                <w:b/>
                <w:sz w:val="19"/>
              </w:rPr>
              <w:t>Change required</w:t>
            </w:r>
          </w:p>
        </w:tc>
        <w:tc>
          <w:tcPr>
            <w:tcW w:type="dxa" w:w="5112"/>
            <w:vAlign w:val="center"/>
            <w:shd w:fill="D9EAF7"/>
          </w:tcPr>
          <w:p>
            <w:r>
              <w:rPr>
                <w:b/>
                <w:sz w:val="19"/>
              </w:rPr>
              <w:t>Why</w:t>
            </w:r>
          </w:p>
        </w:tc>
      </w:tr>
      <w:tr>
        <w:tc>
          <w:tcPr>
            <w:tcW w:type="dxa" w:w="2160"/>
            <w:vAlign w:val="center"/>
          </w:tcPr>
          <w:p>
            <w:r>
              <w:rPr>
                <w:sz w:val="19"/>
              </w:rPr>
              <w:t>QA involvement</w:t>
            </w:r>
          </w:p>
        </w:tc>
        <w:tc>
          <w:tcPr>
            <w:tcW w:type="dxa" w:w="3024"/>
            <w:vAlign w:val="center"/>
          </w:tcPr>
          <w:p>
            <w:r>
              <w:rPr>
                <w:sz w:val="19"/>
              </w:rPr>
              <w:t>Move QA from end-stage sign-off to parallel design assurance</w:t>
            </w:r>
          </w:p>
        </w:tc>
        <w:tc>
          <w:tcPr>
            <w:tcW w:type="dxa" w:w="5112"/>
            <w:vAlign w:val="center"/>
          </w:tcPr>
          <w:p>
            <w:r>
              <w:rPr>
                <w:sz w:val="19"/>
              </w:rPr>
              <w:t>QA currently begins only after frontend completion. Use API contract and workflow states to define test cases now.</w:t>
            </w:r>
          </w:p>
        </w:tc>
      </w:tr>
      <w:tr>
        <w:tc>
          <w:tcPr>
            <w:tcW w:type="dxa" w:w="2160"/>
            <w:vAlign w:val="center"/>
          </w:tcPr>
          <w:p>
            <w:r>
              <w:rPr>
                <w:sz w:val="19"/>
              </w:rPr>
              <w:t>Testing model</w:t>
            </w:r>
          </w:p>
        </w:tc>
        <w:tc>
          <w:tcPr>
            <w:tcW w:type="dxa" w:w="3024"/>
            <w:vAlign w:val="center"/>
          </w:tcPr>
          <w:p>
            <w:r>
              <w:rPr>
                <w:sz w:val="19"/>
              </w:rPr>
              <w:t>Formalise testing layers</w:t>
            </w:r>
          </w:p>
        </w:tc>
        <w:tc>
          <w:tcPr>
            <w:tcW w:type="dxa" w:w="5112"/>
            <w:vAlign w:val="center"/>
          </w:tcPr>
          <w:p>
            <w:r>
              <w:rPr>
                <w:sz w:val="19"/>
              </w:rPr>
              <w:t>Keep developer unit tests, but add API contract tests, workflow regression tests, and end-to-end happy/negative path checks.</w:t>
            </w:r>
          </w:p>
        </w:tc>
      </w:tr>
      <w:tr>
        <w:tc>
          <w:tcPr>
            <w:tcW w:type="dxa" w:w="2160"/>
            <w:vAlign w:val="center"/>
          </w:tcPr>
          <w:p>
            <w:r>
              <w:rPr>
                <w:sz w:val="19"/>
              </w:rPr>
              <w:t>Release governance</w:t>
            </w:r>
          </w:p>
        </w:tc>
        <w:tc>
          <w:tcPr>
            <w:tcW w:type="dxa" w:w="3024"/>
            <w:vAlign w:val="center"/>
          </w:tcPr>
          <w:p>
            <w:r>
              <w:rPr>
                <w:sz w:val="19"/>
              </w:rPr>
              <w:t>Introduce exit criteria per phase</w:t>
            </w:r>
          </w:p>
        </w:tc>
        <w:tc>
          <w:tcPr>
            <w:tcW w:type="dxa" w:w="5112"/>
            <w:vAlign w:val="center"/>
          </w:tcPr>
          <w:p>
            <w:r>
              <w:rPr>
                <w:sz w:val="19"/>
              </w:rPr>
              <w:t>Phase 1 beta, Phase 2 hosted launch, and Phase 3 companion access each need explicit gates and evidence.</w:t>
            </w:r>
          </w:p>
        </w:tc>
      </w:tr>
      <w:tr>
        <w:tc>
          <w:tcPr>
            <w:tcW w:type="dxa" w:w="2160"/>
            <w:vAlign w:val="center"/>
          </w:tcPr>
          <w:p>
            <w:r>
              <w:rPr>
                <w:sz w:val="19"/>
              </w:rPr>
              <w:t>Defect handling</w:t>
            </w:r>
          </w:p>
        </w:tc>
        <w:tc>
          <w:tcPr>
            <w:tcW w:type="dxa" w:w="3024"/>
            <w:vAlign w:val="center"/>
          </w:tcPr>
          <w:p>
            <w:r>
              <w:rPr>
                <w:sz w:val="19"/>
              </w:rPr>
              <w:t>Tag business-logic defects separately from UI defects</w:t>
            </w:r>
          </w:p>
        </w:tc>
        <w:tc>
          <w:tcPr>
            <w:tcW w:type="dxa" w:w="5112"/>
            <w:vAlign w:val="center"/>
          </w:tcPr>
          <w:p>
            <w:r>
              <w:rPr>
                <w:sz w:val="19"/>
              </w:rPr>
              <w:t>Carry-forward, trip lock/unlock, shading logic, and ownership boundaries should be tracked as release-critical logic defects.</w:t>
            </w:r>
          </w:p>
        </w:tc>
      </w:tr>
      <w:tr>
        <w:tc>
          <w:tcPr>
            <w:tcW w:type="dxa" w:w="2160"/>
            <w:vAlign w:val="center"/>
          </w:tcPr>
          <w:p>
            <w:r>
              <w:rPr>
                <w:sz w:val="19"/>
              </w:rPr>
              <w:t>Documentation</w:t>
            </w:r>
          </w:p>
        </w:tc>
        <w:tc>
          <w:tcPr>
            <w:tcW w:type="dxa" w:w="3024"/>
            <w:vAlign w:val="center"/>
          </w:tcPr>
          <w:p>
            <w:r>
              <w:rPr>
                <w:sz w:val="19"/>
              </w:rPr>
              <w:t>Start operational runbooks before feature freeze</w:t>
            </w:r>
          </w:p>
        </w:tc>
        <w:tc>
          <w:tcPr>
            <w:tcW w:type="dxa" w:w="5112"/>
            <w:vAlign w:val="center"/>
          </w:tcPr>
          <w:p>
            <w:r>
              <w:rPr>
                <w:sz w:val="19"/>
              </w:rPr>
              <w:t>Produce setup, backup/restore, test data, and release validation steps while the app is still being built.</w:t>
            </w:r>
          </w:p>
        </w:tc>
      </w:tr>
    </w:tbl>
    <w:p/>
    <w:p>
      <w:pPr>
        <w:pStyle w:val="Heading1"/>
      </w:pPr>
      <w:r>
        <w:t>Recommended testing model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1728"/>
            <w:vAlign w:val="center"/>
            <w:shd w:fill="D9EAF7"/>
          </w:tcPr>
          <w:p>
            <w:r>
              <w:rPr>
                <w:b/>
                <w:sz w:val="19"/>
              </w:rPr>
              <w:t>Layer</w:t>
            </w:r>
          </w:p>
        </w:tc>
        <w:tc>
          <w:tcPr>
            <w:tcW w:type="dxa" w:w="2160"/>
            <w:vAlign w:val="center"/>
            <w:shd w:fill="D9EAF7"/>
          </w:tcPr>
          <w:p>
            <w:r>
              <w:rPr>
                <w:b/>
                <w:sz w:val="19"/>
              </w:rPr>
              <w:t>Owner</w:t>
            </w:r>
          </w:p>
        </w:tc>
        <w:tc>
          <w:tcPr>
            <w:tcW w:type="dxa" w:w="6408"/>
            <w:vAlign w:val="center"/>
            <w:shd w:fill="D9EAF7"/>
          </w:tcPr>
          <w:p>
            <w:r>
              <w:rPr>
                <w:b/>
                <w:sz w:val="19"/>
              </w:rPr>
              <w:t>Minimum scope before Phase 1 beta</w:t>
            </w:r>
          </w:p>
        </w:tc>
      </w:tr>
      <w:tr>
        <w:tc>
          <w:tcPr>
            <w:tcW w:type="dxa" w:w="1728"/>
            <w:vAlign w:val="center"/>
          </w:tcPr>
          <w:p>
            <w:r>
              <w:rPr>
                <w:sz w:val="19"/>
              </w:rPr>
              <w:t>Unit tests</w:t>
            </w:r>
          </w:p>
        </w:tc>
        <w:tc>
          <w:tcPr>
            <w:tcW w:type="dxa" w:w="2160"/>
            <w:vAlign w:val="center"/>
          </w:tcPr>
          <w:p>
            <w:r>
              <w:rPr>
                <w:sz w:val="19"/>
              </w:rPr>
              <w:t>Developers</w:t>
            </w:r>
          </w:p>
        </w:tc>
        <w:tc>
          <w:tcPr>
            <w:tcW w:type="dxa" w:w="6408"/>
            <w:vAlign w:val="center"/>
          </w:tcPr>
          <w:p>
            <w:r>
              <w:rPr>
                <w:sz w:val="19"/>
              </w:rPr>
              <w:t>Validation rules, state transition helpers, shading computation helpers, and carry-forward transformation logic.</w:t>
            </w:r>
          </w:p>
        </w:tc>
      </w:tr>
      <w:tr>
        <w:tc>
          <w:tcPr>
            <w:tcW w:type="dxa" w:w="1728"/>
            <w:vAlign w:val="center"/>
          </w:tcPr>
          <w:p>
            <w:r>
              <w:rPr>
                <w:sz w:val="19"/>
              </w:rPr>
              <w:t>API contract tests</w:t>
            </w:r>
          </w:p>
        </w:tc>
        <w:tc>
          <w:tcPr>
            <w:tcW w:type="dxa" w:w="2160"/>
            <w:vAlign w:val="center"/>
          </w:tcPr>
          <w:p>
            <w:r>
              <w:rPr>
                <w:sz w:val="19"/>
              </w:rPr>
              <w:t>Backend + QA</w:t>
            </w:r>
          </w:p>
        </w:tc>
        <w:tc>
          <w:tcPr>
            <w:tcW w:type="dxa" w:w="6408"/>
            <w:vAlign w:val="center"/>
          </w:tcPr>
          <w:p>
            <w:r>
              <w:rPr>
                <w:sz w:val="19"/>
              </w:rPr>
              <w:t>Every documented status code, validation error shape, locked-trip rejection, and C1-C3 corrections.</w:t>
            </w:r>
          </w:p>
        </w:tc>
      </w:tr>
      <w:tr>
        <w:tc>
          <w:tcPr>
            <w:tcW w:type="dxa" w:w="1728"/>
            <w:vAlign w:val="center"/>
          </w:tcPr>
          <w:p>
            <w:r>
              <w:rPr>
                <w:sz w:val="19"/>
              </w:rPr>
              <w:t>Workflow scenario tests</w:t>
            </w:r>
          </w:p>
        </w:tc>
        <w:tc>
          <w:tcPr>
            <w:tcW w:type="dxa" w:w="2160"/>
            <w:vAlign w:val="center"/>
          </w:tcPr>
          <w:p>
            <w:r>
              <w:rPr>
                <w:sz w:val="19"/>
              </w:rPr>
              <w:t>QA</w:t>
            </w:r>
          </w:p>
        </w:tc>
        <w:tc>
          <w:tcPr>
            <w:tcW w:type="dxa" w:w="6408"/>
            <w:vAlign w:val="center"/>
          </w:tcPr>
          <w:p>
            <w:r>
              <w:rPr>
                <w:sz w:val="19"/>
              </w:rPr>
              <w:t>Create trip, add places/items, review trip, lock/unlock, carry forward, city patch, and offline geocode recovery.</w:t>
            </w:r>
          </w:p>
        </w:tc>
      </w:tr>
      <w:tr>
        <w:tc>
          <w:tcPr>
            <w:tcW w:type="dxa" w:w="1728"/>
            <w:vAlign w:val="center"/>
          </w:tcPr>
          <w:p>
            <w:r>
              <w:rPr>
                <w:sz w:val="19"/>
              </w:rPr>
              <w:t>Smoke / release tests</w:t>
            </w:r>
          </w:p>
        </w:tc>
        <w:tc>
          <w:tcPr>
            <w:tcW w:type="dxa" w:w="2160"/>
            <w:vAlign w:val="center"/>
          </w:tcPr>
          <w:p>
            <w:r>
              <w:rPr>
                <w:sz w:val="19"/>
              </w:rPr>
              <w:t>QA + COO</w:t>
            </w:r>
          </w:p>
        </w:tc>
        <w:tc>
          <w:tcPr>
            <w:tcW w:type="dxa" w:w="6408"/>
            <w:vAlign w:val="center"/>
          </w:tcPr>
          <w:p>
            <w:r>
              <w:rPr>
                <w:sz w:val="19"/>
              </w:rPr>
              <w:t>Fresh install, seed, start app, create sample trip, render map, review/lock trip, verify no blocking defects.</w:t>
            </w:r>
          </w:p>
        </w:tc>
      </w:tr>
    </w:tbl>
    <w:p/>
    <w:p>
      <w:pPr>
        <w:pStyle w:val="Heading1"/>
      </w:pPr>
      <w:r>
        <w:t>Priority remediation roadmap</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1152"/>
            <w:vAlign w:val="center"/>
            <w:shd w:fill="D9EAF7"/>
          </w:tcPr>
          <w:p>
            <w:r>
              <w:rPr>
                <w:b/>
                <w:sz w:val="19"/>
              </w:rPr>
              <w:t>Priority</w:t>
            </w:r>
          </w:p>
        </w:tc>
        <w:tc>
          <w:tcPr>
            <w:tcW w:type="dxa" w:w="1440"/>
            <w:vAlign w:val="center"/>
            <w:shd w:fill="D9EAF7"/>
          </w:tcPr>
          <w:p>
            <w:r>
              <w:rPr>
                <w:b/>
                <w:sz w:val="19"/>
              </w:rPr>
              <w:t>Phase</w:t>
            </w:r>
          </w:p>
        </w:tc>
        <w:tc>
          <w:tcPr>
            <w:tcW w:type="dxa" w:w="7704"/>
            <w:vAlign w:val="center"/>
            <w:shd w:fill="D9EAF7"/>
          </w:tcPr>
          <w:p>
            <w:r>
              <w:rPr>
                <w:b/>
                <w:sz w:val="19"/>
              </w:rPr>
              <w:t>Action</w:t>
            </w:r>
          </w:p>
        </w:tc>
      </w:tr>
      <w:tr>
        <w:tc>
          <w:tcPr>
            <w:tcW w:type="dxa" w:w="1152"/>
            <w:vAlign w:val="center"/>
          </w:tcPr>
          <w:p>
            <w:r>
              <w:rPr>
                <w:sz w:val="19"/>
              </w:rPr>
              <w:t>P1</w:t>
            </w:r>
          </w:p>
        </w:tc>
        <w:tc>
          <w:tcPr>
            <w:tcW w:type="dxa" w:w="1440"/>
            <w:vAlign w:val="center"/>
          </w:tcPr>
          <w:p>
            <w:r>
              <w:rPr>
                <w:sz w:val="19"/>
              </w:rPr>
              <w:t>Phase 1</w:t>
            </w:r>
          </w:p>
        </w:tc>
        <w:tc>
          <w:tcPr>
            <w:tcW w:type="dxa" w:w="7704"/>
            <w:vAlign w:val="center"/>
          </w:tcPr>
          <w:p>
            <w:r>
              <w:rPr>
                <w:sz w:val="19"/>
              </w:rPr>
              <w:t>Close backend corrections C1-C3 and test them explicitly.</w:t>
            </w:r>
          </w:p>
        </w:tc>
      </w:tr>
      <w:tr>
        <w:tc>
          <w:tcPr>
            <w:tcW w:type="dxa" w:w="1152"/>
            <w:vAlign w:val="center"/>
          </w:tcPr>
          <w:p>
            <w:r>
              <w:rPr>
                <w:sz w:val="19"/>
              </w:rPr>
              <w:t>P1</w:t>
            </w:r>
          </w:p>
        </w:tc>
        <w:tc>
          <w:tcPr>
            <w:tcW w:type="dxa" w:w="1440"/>
            <w:vAlign w:val="center"/>
          </w:tcPr>
          <w:p>
            <w:r>
              <w:rPr>
                <w:sz w:val="19"/>
              </w:rPr>
              <w:t>Phase 1</w:t>
            </w:r>
          </w:p>
        </w:tc>
        <w:tc>
          <w:tcPr>
            <w:tcW w:type="dxa" w:w="7704"/>
            <w:vAlign w:val="center"/>
          </w:tcPr>
          <w:p>
            <w:r>
              <w:rPr>
                <w:sz w:val="19"/>
              </w:rPr>
              <w:t>Add dormant schema/service seams for subscription and account ownership.</w:t>
            </w:r>
          </w:p>
        </w:tc>
      </w:tr>
      <w:tr>
        <w:tc>
          <w:tcPr>
            <w:tcW w:type="dxa" w:w="1152"/>
            <w:vAlign w:val="center"/>
          </w:tcPr>
          <w:p>
            <w:r>
              <w:rPr>
                <w:sz w:val="19"/>
              </w:rPr>
              <w:t>P1</w:t>
            </w:r>
          </w:p>
        </w:tc>
        <w:tc>
          <w:tcPr>
            <w:tcW w:type="dxa" w:w="1440"/>
            <w:vAlign w:val="center"/>
          </w:tcPr>
          <w:p>
            <w:r>
              <w:rPr>
                <w:sz w:val="19"/>
              </w:rPr>
              <w:t>Phase 1</w:t>
            </w:r>
          </w:p>
        </w:tc>
        <w:tc>
          <w:tcPr>
            <w:tcW w:type="dxa" w:w="7704"/>
            <w:vAlign w:val="center"/>
          </w:tcPr>
          <w:p>
            <w:r>
              <w:rPr>
                <w:sz w:val="19"/>
              </w:rPr>
              <w:t>Bring QA forward with contract and workflow test design now.</w:t>
            </w:r>
          </w:p>
        </w:tc>
      </w:tr>
      <w:tr>
        <w:tc>
          <w:tcPr>
            <w:tcW w:type="dxa" w:w="1152"/>
            <w:vAlign w:val="center"/>
          </w:tcPr>
          <w:p>
            <w:r>
              <w:rPr>
                <w:sz w:val="19"/>
              </w:rPr>
              <w:t>P1</w:t>
            </w:r>
          </w:p>
        </w:tc>
        <w:tc>
          <w:tcPr>
            <w:tcW w:type="dxa" w:w="1440"/>
            <w:vAlign w:val="center"/>
          </w:tcPr>
          <w:p>
            <w:r>
              <w:rPr>
                <w:sz w:val="19"/>
              </w:rPr>
              <w:t>Phase 1</w:t>
            </w:r>
          </w:p>
        </w:tc>
        <w:tc>
          <w:tcPr>
            <w:tcW w:type="dxa" w:w="7704"/>
            <w:vAlign w:val="center"/>
          </w:tcPr>
          <w:p>
            <w:r>
              <w:rPr>
                <w:sz w:val="19"/>
              </w:rPr>
              <w:t>Define offline retry/backoff and manual reconnect behavior in the product spec.</w:t>
            </w:r>
          </w:p>
        </w:tc>
      </w:tr>
      <w:tr>
        <w:tc>
          <w:tcPr>
            <w:tcW w:type="dxa" w:w="1152"/>
            <w:vAlign w:val="center"/>
          </w:tcPr>
          <w:p>
            <w:r>
              <w:rPr>
                <w:sz w:val="19"/>
              </w:rPr>
              <w:t>P2</w:t>
            </w:r>
          </w:p>
        </w:tc>
        <w:tc>
          <w:tcPr>
            <w:tcW w:type="dxa" w:w="1440"/>
            <w:vAlign w:val="center"/>
          </w:tcPr>
          <w:p>
            <w:r>
              <w:rPr>
                <w:sz w:val="19"/>
              </w:rPr>
              <w:t>Phase 1.5</w:t>
            </w:r>
          </w:p>
        </w:tc>
        <w:tc>
          <w:tcPr>
            <w:tcW w:type="dxa" w:w="7704"/>
            <w:vAlign w:val="center"/>
          </w:tcPr>
          <w:p>
            <w:r>
              <w:rPr>
                <w:sz w:val="19"/>
              </w:rPr>
              <w:t>Clarify SQLite/OneDrive operating model and backup expectations.</w:t>
            </w:r>
          </w:p>
        </w:tc>
      </w:tr>
      <w:tr>
        <w:tc>
          <w:tcPr>
            <w:tcW w:type="dxa" w:w="1152"/>
            <w:vAlign w:val="center"/>
          </w:tcPr>
          <w:p>
            <w:r>
              <w:rPr>
                <w:sz w:val="19"/>
              </w:rPr>
              <w:t>P2</w:t>
            </w:r>
          </w:p>
        </w:tc>
        <w:tc>
          <w:tcPr>
            <w:tcW w:type="dxa" w:w="1440"/>
            <w:vAlign w:val="center"/>
          </w:tcPr>
          <w:p>
            <w:r>
              <w:rPr>
                <w:sz w:val="19"/>
              </w:rPr>
              <w:t>Phase 2</w:t>
            </w:r>
          </w:p>
        </w:tc>
        <w:tc>
          <w:tcPr>
            <w:tcW w:type="dxa" w:w="7704"/>
            <w:vAlign w:val="center"/>
          </w:tcPr>
          <w:p>
            <w:r>
              <w:rPr>
                <w:sz w:val="19"/>
              </w:rPr>
              <w:t>Implement hosted auth, authorization, audit logging, and production controls.</w:t>
            </w:r>
          </w:p>
        </w:tc>
      </w:tr>
      <w:tr>
        <w:tc>
          <w:tcPr>
            <w:tcW w:type="dxa" w:w="1152"/>
            <w:vAlign w:val="center"/>
          </w:tcPr>
          <w:p>
            <w:r>
              <w:rPr>
                <w:sz w:val="19"/>
              </w:rPr>
              <w:t>P2</w:t>
            </w:r>
          </w:p>
        </w:tc>
        <w:tc>
          <w:tcPr>
            <w:tcW w:type="dxa" w:w="1440"/>
            <w:vAlign w:val="center"/>
          </w:tcPr>
          <w:p>
            <w:r>
              <w:rPr>
                <w:sz w:val="19"/>
              </w:rPr>
              <w:t>Phase 3</w:t>
            </w:r>
          </w:p>
        </w:tc>
        <w:tc>
          <w:tcPr>
            <w:tcW w:type="dxa" w:w="7704"/>
            <w:vAlign w:val="center"/>
          </w:tcPr>
          <w:p>
            <w:r>
              <w:rPr>
                <w:sz w:val="19"/>
              </w:rPr>
              <w:t>Implement role-based trip participation and delegated admin boundaries.</w:t>
            </w:r>
          </w:p>
        </w:tc>
      </w:tr>
    </w:tbl>
    <w:p/>
    <w:p>
      <w:pPr>
        <w:pStyle w:val="Heading1"/>
      </w:pPr>
      <w:r>
        <w:t>Conclusion</w:t>
      </w:r>
    </w:p>
    <w:p>
      <w:r>
        <w:t>Proceed with Phase 1 beta, but do not treat the current design as automatically Phase 2-ready. The project is in good shape provided you protect the future identity and subscription seams now, close the backend business-logic corrections cleanly, and stop deferring QA until the end of the cycle.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