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What are our look up tables?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STATISTIC_TYPE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GAME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GAME_GENRE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STADIUM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ROUND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How are we going to populate our rows (about 10)?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Stored procedures for tables that need them, manually for tables that don’t (type tables won’t get added to often, etc.)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Who's doing which CREATE TABLE statement?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4"/>
          <w:szCs w:val="24"/>
          <w:rtl w:val="0"/>
        </w:rPr>
        <w:t xml:space="preserve">Chris: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GAME_GENRE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STADIUM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ROUND</w:t>
      </w:r>
    </w:p>
    <w:p w:rsidR="00000000" w:rsidDel="00000000" w:rsidP="00000000" w:rsidRDefault="00000000" w:rsidRPr="00000000" w14:paraId="00000014">
      <w:pPr>
        <w:ind w:left="0" w:firstLine="0"/>
        <w:rPr>
          <w:rFonts w:ascii="Helvetica Neue" w:cs="Helvetica Neue" w:eastAsia="Helvetica Neue" w:hAnsi="Helvetica Neue"/>
          <w:b w:val="1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4"/>
          <w:szCs w:val="24"/>
          <w:rtl w:val="0"/>
        </w:rPr>
        <w:t xml:space="preserve">Ryan: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18">
      <w:pPr>
        <w:ind w:left="0" w:firstLine="0"/>
        <w:rPr>
          <w:rFonts w:ascii="Helvetica Neue" w:cs="Helvetica Neue" w:eastAsia="Helvetica Neue" w:hAnsi="Helvetica Neue"/>
          <w:b w:val="1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4"/>
          <w:szCs w:val="24"/>
          <w:rtl w:val="0"/>
        </w:rPr>
        <w:t xml:space="preserve">Russel: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STATISTIC_TYPE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GAME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1C">
      <w:pPr>
        <w:ind w:left="0" w:firstLine="0"/>
        <w:rPr>
          <w:rFonts w:ascii="Helvetica Neue" w:cs="Helvetica Neue" w:eastAsia="Helvetica Neue" w:hAnsi="Helvetica Neue"/>
          <w:b w:val="1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4"/>
          <w:szCs w:val="24"/>
          <w:rtl w:val="0"/>
        </w:rPr>
        <w:t xml:space="preserve">Benson: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 Who's doing which CREATE PROCEDURE statement? 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Identify 12 Business Rules.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A Roster can’t play more than one game.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One person can only have 1 role in a roster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4"/>
          <w:szCs w:val="24"/>
          <w:rtl w:val="0"/>
        </w:rPr>
        <w:t xml:space="preserve">Identify 12 potential "complex queries" from the perspective of users/stakeholders.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