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--Each role must have a salary of higher than 0 dollars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fn_MinSalary()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R.Salary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BEGIN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left="720" w:firstLine="720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CK_MinSalary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(dbo.fn_MinSalary()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 STRINGS THAT AREN’T IN AN EMAIL FORMAT CAN BE ENTERED INTO THE TEAM EMAIL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Is_Real_Email()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tblTEAM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TeamEmail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'%@%'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tblTEAM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Real_Email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(dbo.Is_Real_Email()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All PERSONS MUST BE 16 OR OLDER TO PARTICIPATE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Sixteen_Plus_Only()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PersonBirth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Sixteen_And_Up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(dbo.Sixteen_Plus_Only()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–Reviewed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 Stadium named "Seattle Stadium" cannot host any tournament related to "League of Legends" after 2020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Seattle_Banned_League ()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 S 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T.StadiumID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'Seattle Stadium'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'League of Legends'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T.[Year]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League_Banned_At_Seattle_Stadium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(dbo.Seattle_Banned_League()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–-Reviewed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 Game name starting with "Husky" cannot be on Xbox platform after 2012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Xbox_Doesnt_Like_Husky ()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'Husky%'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'Microsoft''s Xbox'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GP.PublishDate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'2012'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No_Husky_After_2012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(dbo.Xbox_Doesnt_Like_Husky()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 Roster's End Date must be larger than its beginning date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fn_noRosterLifeSpanViolation()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PR.PersonRosterID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PR.EndDate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PR.BeginDate)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noInvalidLifeSpan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(dbo.fn_noRosterLifeSpanViolation()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 Tournament cannot begin before a game’s publish date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fn_noPublishDateViolation()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T.[Year]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(GP.PublishDate))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noInvalidTournamentStart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(dbo.fn_noPublishDateViolation()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--A ROSTER cannot participate in a tournament within two weeks of being founded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fn_NoRoster()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TOURN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RR.TournamentID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TOURN.TournamentID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PR.PersonRosterID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PR.BeginDate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CK_NoRoster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(dbo.fn_NoRoster()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