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0"/>
          <w:szCs w:val="20"/>
        </w:rPr>
        <w:t xml:space="preserve">EXECUTIVE MEETING RECAP</w:t>
      </w:r>
    </w:p>
    <w:p>
      <w:pPr>
        <w:spacing w:after="100"/>
      </w:pPr>
      <w:r>
        <w:rPr>
          <w:b/>
          <w:bCs/>
          <w:color w:val="1F2937"/>
          <w:sz w:val="36"/>
          <w:szCs w:val="36"/>
        </w:rPr>
        <w:t xml:space="preserve">Property Management &amp; Operational Enhancement Proposal</w:t>
      </w:r>
    </w:p>
    <w:p>
      <w:pPr>
        <w:spacing w:after="40"/>
      </w:pPr>
      <w:r>
        <w:rPr>
          <w:b/>
          <w:bCs/>
          <w:color w:val="8A6D3B"/>
          <w:sz w:val="26"/>
          <w:szCs w:val="26"/>
        </w:rPr>
        <w:t xml:space="preserve">Blumont Capital Tower</w:t>
      </w:r>
    </w:p>
    <w:p>
      <w:pPr>
        <w:spacing w:after="300"/>
      </w:pPr>
      <w:r>
        <w:rPr>
          <w:color w:val="6B7280"/>
          <w:sz w:val="18"/>
          <w:szCs w:val="18"/>
        </w:rPr>
        <w:t xml:space="preserve">Date: 24 June 2026   |   Prepared by: REOM Homes Real Estate L.L.C.</w:t>
      </w:r>
    </w:p>
    <w:p>
      <w:pPr>
        <w:spacing w:after="160" w:line="276"/>
      </w:pPr>
      <w:r>
        <w:rPr>
          <w:i w:val="false"/>
          <w:iCs w:val="false"/>
          <w:color w:val="1F2937"/>
          <w:sz w:val="22"/>
          <w:szCs w:val="22"/>
        </w:rPr>
        <w:t xml:space="preserve">Following the meeting held with Amna and Fatima, REOM Homes Real Estate L.L.C. is pleased to present this summary of the proposed management and operational enhancement of Blumont Capital Tower. This revised version incorporates baseline performance data, defined commercial terms, a staffing budget, and a phased implementation plan so that ownership can evaluate the proposal as a complete business case.</w:t>
      </w:r>
    </w:p>
    <w:p>
      <w:pPr>
        <w:pStyle w:val="Heading1"/>
        <w:pBdr>
          <w:bottom w:val="single" w:color="8A6D3B" w:sz="6" w:space="4"/>
        </w:pBdr>
        <w:spacing w:after="200" w:before="420"/>
      </w:pPr>
      <w:r>
        <w:rPr>
          <w:b/>
          <w:bCs/>
          <w:color w:val="1F2937"/>
          <w:sz w:val="30"/>
          <w:szCs w:val="30"/>
        </w:rPr>
        <w:t xml:space="preserve">1. Revenue Optimization &amp; Occupancy Growth</w:t>
      </w:r>
    </w:p>
    <w:p>
      <w:pPr>
        <w:spacing w:after="160" w:line="276"/>
      </w:pPr>
      <w:r>
        <w:rPr>
          <w:i w:val="false"/>
          <w:iCs w:val="false"/>
          <w:color w:val="1F2937"/>
          <w:sz w:val="22"/>
          <w:szCs w:val="22"/>
        </w:rPr>
        <w:t xml:space="preserve">The primary objective of the proposed management strategy is to maximize occupancy levels and increase overall revenue performance.</w:t>
      </w:r>
    </w:p>
    <w:tbl>
      <w:tblPr>
        <w:tblW w:type="pct" w:w="100%"/>
        <w:tblBorders>
          <w:top w:val="single" w:color="C99A3B" w:sz="4"/>
          <w:left w:val="single" w:color="C99A3B" w:sz="4"/>
          <w:bottom w:val="single" w:color="C99A3B" w:sz="4"/>
          <w:right w:val="single" w:color="C99A3B" w:sz="4"/>
          <w:insideH w:val="none" w:color="FFFFFF" w:sz="0"/>
          <w:insideV w:val="none" w:color="FFFFFF" w:sz="0"/>
        </w:tblBorders>
      </w:tblPr>
      <w:tblGrid>
        <w:gridCol w:w="100"/>
      </w:tblGrid>
      <w:tr>
        <w:tc>
          <w:tcPr>
            <w:shd w:fill="FFF7E6" w:val="clear"/>
            <w:tcMar>
              <w:top w:type="dxa" w:w="140"/>
              <w:left w:type="dxa" w:w="200"/>
              <w:bottom w:type="dxa" w:w="140"/>
              <w:right w:type="dxa" w:w="200"/>
            </w:tcMar>
          </w:tcPr>
          <w:p>
            <w:pPr>
              <w:spacing w:after="60"/>
            </w:pPr>
            <w:r>
              <w:rPr>
                <w:b/>
                <w:bCs/>
                <w:color w:val="C99A3B"/>
                <w:sz w:val="20"/>
                <w:szCs w:val="20"/>
              </w:rPr>
              <w:t xml:space="preserve">Baseline &amp; Targets — to confirm with ownership</w:t>
            </w:r>
          </w:p>
          <w:p>
            <w:r>
              <w:rPr>
                <w:i/>
                <w:iCs/>
                <w:color w:val="1F2937"/>
                <w:sz w:val="21"/>
                <w:szCs w:val="21"/>
              </w:rPr>
              <w:t xml:space="preserve">Current occupancy: [__%]   |   Current ADR: AED [____]   |   Target occupancy (Year 1): [__%]   |   Target ADR (Year 1): AED [____]</w:t>
            </w:r>
          </w:p>
        </w:tc>
      </w:tr>
    </w:tbl>
    <w:p>
      <w:pPr>
        <w:spacing w:after="160" w:line="276"/>
      </w:pPr>
      <w:r>
        <w:rPr>
          <w:i w:val="false"/>
          <w:iCs w:val="false"/>
          <w:color w:val="1F2937"/>
          <w:sz w:val="22"/>
          <w:szCs w:val="22"/>
        </w:rPr>
        <w:t xml:space="preserve">To achieve this, REOM Homes recommends implementing a comprehensive Central Reservation System (CRS) that will provide real-time visibility and control over:</w:t>
      </w:r>
    </w:p>
    <w:p>
      <w:pPr>
        <w:pStyle w:val="ListParagraph"/>
        <w:numPr>
          <w:ilvl w:val="0"/>
          <w:numId w:val="2"/>
        </w:numPr>
        <w:spacing w:after="80"/>
      </w:pPr>
      <w:r>
        <w:rPr>
          <w:color w:val="1F2937"/>
          <w:sz w:val="22"/>
          <w:szCs w:val="22"/>
        </w:rPr>
        <w:t xml:space="preserve">Unit inventory and availability</w:t>
      </w:r>
    </w:p>
    <w:p>
      <w:pPr>
        <w:pStyle w:val="ListParagraph"/>
        <w:numPr>
          <w:ilvl w:val="0"/>
          <w:numId w:val="2"/>
        </w:numPr>
        <w:spacing w:after="80"/>
      </w:pPr>
      <w:r>
        <w:rPr>
          <w:color w:val="1F2937"/>
          <w:sz w:val="22"/>
          <w:szCs w:val="22"/>
        </w:rPr>
        <w:t xml:space="preserve">Reservations and bookings</w:t>
      </w:r>
    </w:p>
    <w:p>
      <w:pPr>
        <w:pStyle w:val="ListParagraph"/>
        <w:numPr>
          <w:ilvl w:val="0"/>
          <w:numId w:val="2"/>
        </w:numPr>
        <w:spacing w:after="80"/>
      </w:pPr>
      <w:r>
        <w:rPr>
          <w:color w:val="1F2937"/>
          <w:sz w:val="22"/>
          <w:szCs w:val="22"/>
        </w:rPr>
        <w:t xml:space="preserve">Rate management</w:t>
      </w:r>
    </w:p>
    <w:p>
      <w:pPr>
        <w:pStyle w:val="ListParagraph"/>
        <w:numPr>
          <w:ilvl w:val="0"/>
          <w:numId w:val="2"/>
        </w:numPr>
        <w:spacing w:after="80"/>
      </w:pPr>
      <w:r>
        <w:rPr>
          <w:color w:val="1F2937"/>
          <w:sz w:val="22"/>
          <w:szCs w:val="22"/>
        </w:rPr>
        <w:t xml:space="preserve">Occupancy performance</w:t>
      </w:r>
    </w:p>
    <w:p>
      <w:pPr>
        <w:pStyle w:val="ListParagraph"/>
        <w:numPr>
          <w:ilvl w:val="0"/>
          <w:numId w:val="2"/>
        </w:numPr>
        <w:spacing w:after="80"/>
      </w:pPr>
      <w:r>
        <w:rPr>
          <w:color w:val="1F2937"/>
          <w:sz w:val="22"/>
          <w:szCs w:val="22"/>
        </w:rPr>
        <w:t xml:space="preserve">Revenue reporting</w:t>
      </w:r>
    </w:p>
    <w:p>
      <w:pPr>
        <w:spacing w:after="160" w:line="276"/>
      </w:pPr>
      <w:r>
        <w:rPr>
          <w:i w:val="false"/>
          <w:iCs w:val="false"/>
          <w:color w:val="1F2937"/>
          <w:sz w:val="22"/>
          <w:szCs w:val="22"/>
        </w:rPr>
        <w:t xml:space="preserve">Additionally, the system will incorporate dynamic pricing capabilities, enabling room rates to automatically adjust based on market demand, seasonal trends, local events, occupancy levels, and competitor pricing. This ensures the property remains competitive while maximizing revenue opportunities throughout the year.</w:t>
      </w:r>
    </w:p>
    <w:p>
      <w:pPr>
        <w:spacing w:after="160" w:line="276"/>
      </w:pPr>
      <w:r>
        <w:rPr>
          <w:i w:val="false"/>
          <w:iCs w:val="false"/>
          <w:color w:val="1F2937"/>
          <w:sz w:val="22"/>
          <w:szCs w:val="22"/>
        </w:rPr>
        <w:t xml:space="preserve">The CRS platform will provide both front-office and management teams with centralized access to inventory, pricing, reservations, and operational reporting, ensuring efficient decision-making and complete transparency across all departments.</w:t>
      </w:r>
    </w:p>
    <w:p>
      <w:pPr>
        <w:pStyle w:val="Heading1"/>
        <w:pBdr>
          <w:bottom w:val="single" w:color="8A6D3B" w:sz="6" w:space="4"/>
        </w:pBdr>
        <w:spacing w:after="200" w:before="420"/>
      </w:pPr>
      <w:r>
        <w:rPr>
          <w:b/>
          <w:bCs/>
          <w:color w:val="1F2937"/>
          <w:sz w:val="30"/>
          <w:szCs w:val="30"/>
        </w:rPr>
        <w:t xml:space="preserve">2. Additional Revenue Generation &amp; Asset Value Enhancement</w:t>
      </w:r>
    </w:p>
    <w:p>
      <w:pPr>
        <w:pStyle w:val="Heading2"/>
        <w:spacing w:after="140" w:before="280"/>
      </w:pPr>
      <w:r>
        <w:rPr>
          <w:b/>
          <w:bCs/>
          <w:color w:val="8A6D3B"/>
          <w:sz w:val="24"/>
          <w:szCs w:val="24"/>
        </w:rPr>
        <w:t xml:space="preserve">Commercial Space Leasing Strategy</w:t>
      </w:r>
    </w:p>
    <w:p>
      <w:pPr>
        <w:spacing w:after="160" w:line="276"/>
      </w:pPr>
      <w:r>
        <w:rPr>
          <w:i w:val="false"/>
          <w:iCs w:val="false"/>
          <w:color w:val="1F2937"/>
          <w:sz w:val="22"/>
          <w:szCs w:val="22"/>
        </w:rPr>
        <w:t xml:space="preserve">Upon commencement of management operations, one of REOM Homes' immediate priorities will be the marketing and leasing of all vacant commercial and retail spaces within the property.</w:t>
      </w:r>
    </w:p>
    <w:tbl>
      <w:tblPr>
        <w:tblW w:type="pct" w:w="100%"/>
        <w:tblBorders>
          <w:top w:val="single" w:color="C99A3B" w:sz="4"/>
          <w:left w:val="single" w:color="C99A3B" w:sz="4"/>
          <w:bottom w:val="single" w:color="C99A3B" w:sz="4"/>
          <w:right w:val="single" w:color="C99A3B" w:sz="4"/>
          <w:insideH w:val="none" w:color="FFFFFF" w:sz="0"/>
          <w:insideV w:val="none" w:color="FFFFFF" w:sz="0"/>
        </w:tblBorders>
      </w:tblPr>
      <w:tblGrid>
        <w:gridCol w:w="100"/>
      </w:tblGrid>
      <w:tr>
        <w:tc>
          <w:tcPr>
            <w:shd w:fill="FFF7E6" w:val="clear"/>
            <w:tcMar>
              <w:top w:type="dxa" w:w="140"/>
              <w:left w:type="dxa" w:w="200"/>
              <w:bottom w:type="dxa" w:w="140"/>
              <w:right w:type="dxa" w:w="200"/>
            </w:tcMar>
          </w:tcPr>
          <w:p>
            <w:pPr>
              <w:spacing w:after="60"/>
            </w:pPr>
            <w:r>
              <w:rPr>
                <w:b/>
                <w:bCs/>
                <w:color w:val="C99A3B"/>
                <w:sz w:val="20"/>
                <w:szCs w:val="20"/>
              </w:rPr>
              <w:t xml:space="preserve">Baseline &amp; Projection — to confirm with ownership</w:t>
            </w:r>
          </w:p>
          <w:p>
            <w:r>
              <w:rPr>
                <w:i/>
                <w:iCs/>
                <w:color w:val="1F2937"/>
                <w:sz w:val="21"/>
                <w:szCs w:val="21"/>
              </w:rPr>
              <w:t xml:space="preserve">Vacant commercial units: [__]   |   Projected combined monthly leasing income once fully leased: AED [____]   |   Target lease-up period: [__] months</w:t>
            </w:r>
          </w:p>
        </w:tc>
      </w:tr>
    </w:tbl>
    <w:p>
      <w:pPr>
        <w:spacing w:after="160" w:line="276"/>
      </w:pPr>
      <w:r>
        <w:rPr>
          <w:i w:val="false"/>
          <w:iCs w:val="false"/>
          <w:color w:val="1F2937"/>
          <w:sz w:val="22"/>
          <w:szCs w:val="22"/>
        </w:rPr>
        <w:t xml:space="preserve">Activating these commercial units at the earliest opportunity will generate an immediate additional revenue stream for ownership while enhancing the overall appeal and activity within the building.</w:t>
      </w:r>
    </w:p>
    <w:p>
      <w:pPr>
        <w:spacing w:after="160" w:line="276"/>
      </w:pPr>
      <w:r>
        <w:rPr>
          <w:i w:val="false"/>
          <w:iCs w:val="false"/>
          <w:color w:val="1F2937"/>
          <w:sz w:val="22"/>
          <w:szCs w:val="22"/>
        </w:rPr>
        <w:t xml:space="preserve">Commercial leasing income will be allocated as follows: a share directed to ownership as additional net revenue, and a defined portion reinvested into the property enhancement initiatives outlined in Section 5 (lighting, lobby, and reception improvements). Kitchenette conversions and other larger capital items described in this proposal are owner-funded capital expenditure, budgeted and approved separately from operating revenue — see the Capital Expenditure Summary in Section 5.</w:t>
      </w:r>
    </w:p>
    <w:p>
      <w:pPr>
        <w:spacing w:after="160" w:line="276"/>
      </w:pPr>
      <w:r>
        <w:rPr>
          <w:i w:val="false"/>
          <w:iCs w:val="false"/>
          <w:color w:val="1F2937"/>
          <w:sz w:val="22"/>
          <w:szCs w:val="22"/>
        </w:rPr>
        <w:t xml:space="preserve">A fully occupied commercial component will also increase footfall, improve the property's image, and contribute to a more vibrant, professionally operated environment.</w:t>
      </w:r>
    </w:p>
    <w:p>
      <w:pPr>
        <w:pStyle w:val="Heading2"/>
        <w:spacing w:after="140" w:before="280"/>
      </w:pPr>
      <w:r>
        <w:rPr>
          <w:b/>
          <w:bCs/>
          <w:color w:val="8A6D3B"/>
          <w:sz w:val="24"/>
          <w:szCs w:val="24"/>
        </w:rPr>
        <w:t xml:space="preserve">Premium Studio Enhancement Program</w:t>
      </w:r>
    </w:p>
    <w:p>
      <w:pPr>
        <w:spacing w:after="160" w:line="276"/>
      </w:pPr>
      <w:r>
        <w:rPr>
          <w:i w:val="false"/>
          <w:iCs w:val="false"/>
          <w:color w:val="1F2937"/>
          <w:sz w:val="22"/>
          <w:szCs w:val="22"/>
        </w:rPr>
        <w:t xml:space="preserve">Following the successful stabilization of operations and occupancy performance, REOM Homes proposes the gradual introduction of kitchenette facilities within selected premium studio units, positioning the property more competitively within the extended-stay and serviced apartment market.</w:t>
      </w:r>
    </w:p>
    <w:tbl>
      <w:tblPr>
        <w:tblW w:type="pct" w:w="100%"/>
        <w:tblBorders>
          <w:top w:val="single" w:color="C99A3B" w:sz="4"/>
          <w:left w:val="single" w:color="C99A3B" w:sz="4"/>
          <w:bottom w:val="single" w:color="C99A3B" w:sz="4"/>
          <w:right w:val="single" w:color="C99A3B" w:sz="4"/>
          <w:insideH w:val="none" w:color="FFFFFF" w:sz="0"/>
          <w:insideV w:val="none" w:color="FFFFFF" w:sz="0"/>
        </w:tblBorders>
      </w:tblPr>
      <w:tblGrid>
        <w:gridCol w:w="100"/>
      </w:tblGrid>
      <w:tr>
        <w:tc>
          <w:tcPr>
            <w:shd w:fill="FFF7E6" w:val="clear"/>
            <w:tcMar>
              <w:top w:type="dxa" w:w="140"/>
              <w:left w:type="dxa" w:w="200"/>
              <w:bottom w:type="dxa" w:w="140"/>
              <w:right w:type="dxa" w:w="200"/>
            </w:tcMar>
          </w:tcPr>
          <w:p>
            <w:pPr>
              <w:spacing w:after="60"/>
            </w:pPr>
            <w:r>
              <w:rPr>
                <w:b/>
                <w:bCs/>
                <w:color w:val="C99A3B"/>
                <w:sz w:val="20"/>
                <w:szCs w:val="20"/>
              </w:rPr>
              <w:t xml:space="preserve">Projection — to confirm with ownership</w:t>
            </w:r>
          </w:p>
          <w:p>
            <w:r>
              <w:rPr>
                <w:i/>
                <w:iCs/>
                <w:color w:val="1F2937"/>
                <w:sz w:val="21"/>
                <w:szCs w:val="21"/>
              </w:rPr>
              <w:t xml:space="preserve">Units proposed for conversion: [__] of [__] total studios   |   Estimated cost per unit: AED [____]   |   Projected ADR uplift per converted unit: [__%]   |   Estimated payback period: [__] months</w:t>
            </w:r>
          </w:p>
        </w:tc>
      </w:tr>
    </w:tbl>
    <w:p>
      <w:pPr>
        <w:spacing w:after="160" w:line="276"/>
      </w:pPr>
      <w:r>
        <w:rPr>
          <w:i w:val="false"/>
          <w:iCs w:val="false"/>
          <w:color w:val="1F2937"/>
          <w:sz w:val="22"/>
          <w:szCs w:val="22"/>
        </w:rPr>
        <w:t xml:space="preserve">Anticipated benefits include:</w:t>
      </w:r>
    </w:p>
    <w:p>
      <w:pPr>
        <w:pStyle w:val="ListParagraph"/>
        <w:numPr>
          <w:ilvl w:val="0"/>
          <w:numId w:val="2"/>
        </w:numPr>
        <w:spacing w:after="80"/>
      </w:pPr>
      <w:r>
        <w:rPr>
          <w:color w:val="1F2937"/>
          <w:sz w:val="22"/>
          <w:szCs w:val="22"/>
        </w:rPr>
        <w:t xml:space="preserve">Increased Average Daily Rate (ADR)</w:t>
      </w:r>
    </w:p>
    <w:p>
      <w:pPr>
        <w:pStyle w:val="ListParagraph"/>
        <w:numPr>
          <w:ilvl w:val="0"/>
          <w:numId w:val="2"/>
        </w:numPr>
        <w:spacing w:after="80"/>
      </w:pPr>
      <w:r>
        <w:rPr>
          <w:color w:val="1F2937"/>
          <w:sz w:val="22"/>
          <w:szCs w:val="22"/>
        </w:rPr>
        <w:t xml:space="preserve">Higher occupancy levels</w:t>
      </w:r>
    </w:p>
    <w:p>
      <w:pPr>
        <w:pStyle w:val="ListParagraph"/>
        <w:numPr>
          <w:ilvl w:val="0"/>
          <w:numId w:val="2"/>
        </w:numPr>
        <w:spacing w:after="80"/>
      </w:pPr>
      <w:r>
        <w:rPr>
          <w:color w:val="1F2937"/>
          <w:sz w:val="22"/>
          <w:szCs w:val="22"/>
        </w:rPr>
        <w:t xml:space="preserve">Extended guest stay durations</w:t>
      </w:r>
    </w:p>
    <w:p>
      <w:pPr>
        <w:pStyle w:val="ListParagraph"/>
        <w:numPr>
          <w:ilvl w:val="0"/>
          <w:numId w:val="2"/>
        </w:numPr>
        <w:spacing w:after="80"/>
      </w:pPr>
      <w:r>
        <w:rPr>
          <w:color w:val="1F2937"/>
          <w:sz w:val="22"/>
          <w:szCs w:val="22"/>
        </w:rPr>
        <w:t xml:space="preserve">Improved guest satisfaction</w:t>
      </w:r>
    </w:p>
    <w:p>
      <w:pPr>
        <w:pStyle w:val="ListParagraph"/>
        <w:numPr>
          <w:ilvl w:val="0"/>
          <w:numId w:val="2"/>
        </w:numPr>
        <w:spacing w:after="80"/>
      </w:pPr>
      <w:r>
        <w:rPr>
          <w:color w:val="1F2937"/>
          <w:sz w:val="22"/>
          <w:szCs w:val="22"/>
        </w:rPr>
        <w:t xml:space="preserve">Increased profitability per unit</w:t>
      </w:r>
    </w:p>
    <w:p>
      <w:pPr>
        <w:pStyle w:val="ListParagraph"/>
        <w:numPr>
          <w:ilvl w:val="0"/>
          <w:numId w:val="2"/>
        </w:numPr>
        <w:spacing w:after="80"/>
      </w:pPr>
      <w:r>
        <w:rPr>
          <w:color w:val="1F2937"/>
          <w:sz w:val="22"/>
          <w:szCs w:val="22"/>
        </w:rPr>
        <w:t xml:space="preserve">Enhanced competitiveness within the hospitality market</w:t>
      </w:r>
    </w:p>
    <w:p>
      <w:pPr>
        <w:pStyle w:val="ListParagraph"/>
        <w:numPr>
          <w:ilvl w:val="0"/>
          <w:numId w:val="2"/>
        </w:numPr>
        <w:spacing w:after="80"/>
      </w:pPr>
      <w:r>
        <w:rPr>
          <w:color w:val="1F2937"/>
          <w:sz w:val="22"/>
          <w:szCs w:val="22"/>
        </w:rPr>
        <w:t xml:space="preserve">Attraction of corporate and long-term residents</w:t>
      </w:r>
    </w:p>
    <w:p>
      <w:pPr>
        <w:spacing w:after="160" w:line="276"/>
      </w:pPr>
      <w:r>
        <w:rPr>
          <w:i w:val="false"/>
          <w:iCs w:val="false"/>
          <w:color w:val="1F2937"/>
          <w:sz w:val="22"/>
          <w:szCs w:val="22"/>
        </w:rPr>
        <w:t xml:space="preserve">This initiative will be implemented strategically and in phases (see Section 11), ensuring investments are aligned with occupancy growth, market demand, and operational performance.</w:t>
      </w:r>
    </w:p>
    <w:p>
      <w:pPr>
        <w:pStyle w:val="Heading1"/>
        <w:pBdr>
          <w:bottom w:val="single" w:color="8A6D3B" w:sz="6" w:space="4"/>
        </w:pBdr>
        <w:spacing w:after="200" w:before="420"/>
      </w:pPr>
      <w:r>
        <w:rPr>
          <w:b/>
          <w:bCs/>
          <w:color w:val="1F2937"/>
          <w:sz w:val="30"/>
          <w:szCs w:val="30"/>
        </w:rPr>
        <w:t xml:space="preserve">3. Marketing, Sales &amp; Distribution Strategy</w:t>
      </w:r>
    </w:p>
    <w:p>
      <w:pPr>
        <w:spacing w:after="160" w:line="276"/>
      </w:pPr>
      <w:r>
        <w:rPr>
          <w:i w:val="false"/>
          <w:iCs w:val="false"/>
          <w:color w:val="1F2937"/>
          <w:sz w:val="22"/>
          <w:szCs w:val="22"/>
        </w:rPr>
        <w:t xml:space="preserve">A strong marketing and distribution strategy will be critical to establishing Blumont Capital Tower as a preferred accommodation destination within Abu Dhabi.</w:t>
      </w:r>
    </w:p>
    <w:p>
      <w:pPr>
        <w:spacing w:after="160" w:line="276"/>
      </w:pPr>
      <w:r>
        <w:rPr>
          <w:i w:val="false"/>
          <w:iCs w:val="false"/>
          <w:color w:val="1F2937"/>
          <w:sz w:val="22"/>
          <w:szCs w:val="22"/>
        </w:rPr>
        <w:t xml:space="preserve">REOM Homes proposes the immediate onboarding of the property across leading international Online Travel Agencies (OTAs), including:</w:t>
      </w:r>
    </w:p>
    <w:p>
      <w:pPr>
        <w:pStyle w:val="ListParagraph"/>
        <w:numPr>
          <w:ilvl w:val="0"/>
          <w:numId w:val="2"/>
        </w:numPr>
        <w:spacing w:after="80"/>
      </w:pPr>
      <w:r>
        <w:rPr>
          <w:color w:val="1F2937"/>
          <w:sz w:val="22"/>
          <w:szCs w:val="22"/>
        </w:rPr>
        <w:t xml:space="preserve">Booking.com</w:t>
      </w:r>
    </w:p>
    <w:p>
      <w:pPr>
        <w:pStyle w:val="ListParagraph"/>
        <w:numPr>
          <w:ilvl w:val="0"/>
          <w:numId w:val="2"/>
        </w:numPr>
        <w:spacing w:after="80"/>
      </w:pPr>
      <w:r>
        <w:rPr>
          <w:color w:val="1F2937"/>
          <w:sz w:val="22"/>
          <w:szCs w:val="22"/>
        </w:rPr>
        <w:t xml:space="preserve">Expedia</w:t>
      </w:r>
    </w:p>
    <w:p>
      <w:pPr>
        <w:pStyle w:val="ListParagraph"/>
        <w:numPr>
          <w:ilvl w:val="0"/>
          <w:numId w:val="2"/>
        </w:numPr>
        <w:spacing w:after="80"/>
      </w:pPr>
      <w:r>
        <w:rPr>
          <w:color w:val="1F2937"/>
          <w:sz w:val="22"/>
          <w:szCs w:val="22"/>
        </w:rPr>
        <w:t xml:space="preserve">Airbnb</w:t>
      </w:r>
    </w:p>
    <w:p>
      <w:pPr>
        <w:spacing w:after="160" w:line="276"/>
      </w:pPr>
      <w:r>
        <w:rPr>
          <w:i w:val="false"/>
          <w:iCs w:val="false"/>
          <w:color w:val="1F2937"/>
          <w:sz w:val="22"/>
          <w:szCs w:val="22"/>
        </w:rPr>
        <w:t xml:space="preserve">In parallel, units will be marketed through leading local platforms, including:</w:t>
      </w:r>
    </w:p>
    <w:p>
      <w:pPr>
        <w:pStyle w:val="ListParagraph"/>
        <w:numPr>
          <w:ilvl w:val="0"/>
          <w:numId w:val="2"/>
        </w:numPr>
        <w:spacing w:after="80"/>
      </w:pPr>
      <w:r>
        <w:rPr>
          <w:color w:val="1F2937"/>
          <w:sz w:val="22"/>
          <w:szCs w:val="22"/>
        </w:rPr>
        <w:t xml:space="preserve">Bayut</w:t>
      </w:r>
    </w:p>
    <w:p>
      <w:pPr>
        <w:pStyle w:val="ListParagraph"/>
        <w:numPr>
          <w:ilvl w:val="0"/>
          <w:numId w:val="2"/>
        </w:numPr>
        <w:spacing w:after="80"/>
      </w:pPr>
      <w:r>
        <w:rPr>
          <w:color w:val="1F2937"/>
          <w:sz w:val="22"/>
          <w:szCs w:val="22"/>
        </w:rPr>
        <w:t xml:space="preserve">Dubizzle</w:t>
      </w:r>
    </w:p>
    <w:p>
      <w:pPr>
        <w:pStyle w:val="ListParagraph"/>
        <w:numPr>
          <w:ilvl w:val="0"/>
          <w:numId w:val="2"/>
        </w:numPr>
        <w:spacing w:after="80"/>
      </w:pPr>
      <w:r>
        <w:rPr>
          <w:color w:val="1F2937"/>
          <w:sz w:val="22"/>
          <w:szCs w:val="22"/>
        </w:rPr>
        <w:t xml:space="preserve">Property Finder</w:t>
      </w:r>
    </w:p>
    <w:p>
      <w:pPr>
        <w:spacing w:after="160" w:line="276"/>
      </w:pPr>
      <w:r>
        <w:rPr>
          <w:i w:val="false"/>
          <w:iCs w:val="false"/>
          <w:color w:val="1F2937"/>
          <w:sz w:val="22"/>
          <w:szCs w:val="22"/>
        </w:rPr>
        <w:t xml:space="preserve">This multi-channel approach will significantly increase market exposure, occupancy levels, and booking volumes while strengthening the property's brand presence.</w:t>
      </w:r>
    </w:p>
    <w:p>
      <w:pPr>
        <w:spacing w:after="160" w:line="276"/>
      </w:pPr>
      <w:r>
        <w:rPr>
          <w:i w:val="false"/>
          <w:iCs w:val="false"/>
          <w:color w:val="1F2937"/>
          <w:sz w:val="22"/>
          <w:szCs w:val="22"/>
        </w:rPr>
        <w:t xml:space="preserve">The establishment of a dedicated website, professional email infrastructure, and centralized communication channels will further enhance credibility, improve customer engagement, and support long-term business growth. Marketing will remain a primary focus throughout the management period to ensure continuous visibility, strong occupancy levels, and sustained revenue growth.</w:t>
      </w:r>
    </w:p>
    <w:p>
      <w:pPr>
        <w:pStyle w:val="Heading1"/>
        <w:pBdr>
          <w:bottom w:val="single" w:color="8A6D3B" w:sz="6" w:space="4"/>
        </w:pBdr>
        <w:spacing w:after="200" w:before="420"/>
      </w:pPr>
      <w:r>
        <w:rPr>
          <w:b/>
          <w:bCs/>
          <w:color w:val="1F2937"/>
          <w:sz w:val="30"/>
          <w:szCs w:val="30"/>
        </w:rPr>
        <w:t xml:space="preserve">4. Facilities Management &amp; Operational Excellence</w:t>
      </w:r>
    </w:p>
    <w:p>
      <w:pPr>
        <w:spacing w:after="160" w:line="276"/>
      </w:pPr>
      <w:r>
        <w:rPr>
          <w:i w:val="false"/>
          <w:iCs w:val="false"/>
          <w:color w:val="1F2937"/>
          <w:sz w:val="22"/>
          <w:szCs w:val="22"/>
        </w:rPr>
        <w:t xml:space="preserve">The success of any hospitality asset is directly linked to the quality of its daily operations and guest services. REOM Homes recommends the implementation of a professional Facilities Management structure comprising the roles and estimated staffing levels below.</w:t>
      </w:r>
    </w:p>
    <w:tbl>
      <w:tblPr>
        <w:tblW w:type="pct" w:w="100%"/>
        <w:tblBorders>
          <w:top w:val="single" w:color="C99A3B" w:sz="4"/>
          <w:left w:val="single" w:color="C99A3B" w:sz="4"/>
          <w:bottom w:val="single" w:color="C99A3B" w:sz="4"/>
          <w:right w:val="single" w:color="C99A3B" w:sz="4"/>
          <w:insideH w:val="none" w:color="FFFFFF" w:sz="0"/>
          <w:insideV w:val="none" w:color="FFFFFF" w:sz="0"/>
        </w:tblBorders>
      </w:tblPr>
      <w:tblGrid>
        <w:gridCol w:w="100"/>
      </w:tblGrid>
      <w:tr>
        <w:tc>
          <w:tcPr>
            <w:shd w:fill="FFF7E6" w:val="clear"/>
            <w:tcMar>
              <w:top w:type="dxa" w:w="140"/>
              <w:left w:type="dxa" w:w="200"/>
              <w:bottom w:type="dxa" w:w="140"/>
              <w:right w:type="dxa" w:w="200"/>
            </w:tcMar>
          </w:tcPr>
          <w:p>
            <w:pPr>
              <w:spacing w:after="60"/>
            </w:pPr>
            <w:r>
              <w:rPr>
                <w:b/>
                <w:bCs/>
                <w:color w:val="C99A3B"/>
                <w:sz w:val="20"/>
                <w:szCs w:val="20"/>
              </w:rPr>
              <w:t xml:space="preserve">Basis for Estimate — to confirm with ownership</w:t>
            </w:r>
          </w:p>
          <w:p>
            <w:r>
              <w:rPr>
                <w:i/>
                <w:iCs/>
                <w:color w:val="1F2937"/>
                <w:sz w:val="21"/>
                <w:szCs w:val="21"/>
              </w:rPr>
              <w:t xml:space="preserve">Figures below assume a mid-size property of approximately 100–130 units at a 3–4★ service standard, staffed through an outsourced FM partner. Costs are all-in (base salary plus visa, basic accommodation allowance, uniform, and agency margin), not raw take-home pay. To be recalibrated once actual unit count and target service tier are confirmed.</w:t>
            </w:r>
          </w:p>
        </w:tc>
      </w:tr>
    </w:tbl>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1400"/>
        <w:gridCol w:w="1900"/>
        <w:gridCol w:w="2900"/>
      </w:tblGrid>
      <w:tr>
        <w:trPr>
          <w:tblHeader/>
        </w:trPr>
        <w:tc>
          <w:tcPr>
            <w:tcW w:type="dxa" w:w="3000"/>
            <w:shd w:fill="1F2937" w:val="clear"/>
            <w:tcMar>
              <w:top w:type="dxa" w:w="100"/>
              <w:left w:type="dxa" w:w="120"/>
              <w:bottom w:type="dxa" w:w="100"/>
              <w:right w:type="dxa" w:w="120"/>
            </w:tcMar>
            <w:vAlign w:val="center"/>
          </w:tcPr>
          <w:p>
            <w:r>
              <w:rPr>
                <w:b/>
                <w:bCs/>
                <w:color w:val="FFFFFF"/>
                <w:sz w:val="19"/>
                <w:szCs w:val="19"/>
              </w:rPr>
              <w:t xml:space="preserve">Role</w:t>
            </w:r>
          </w:p>
        </w:tc>
        <w:tc>
          <w:tcPr>
            <w:tcW w:type="dxa" w:w="1400"/>
            <w:shd w:fill="1F2937" w:val="clear"/>
            <w:tcMar>
              <w:top w:type="dxa" w:w="100"/>
              <w:left w:type="dxa" w:w="120"/>
              <w:bottom w:type="dxa" w:w="100"/>
              <w:right w:type="dxa" w:w="120"/>
            </w:tcMar>
            <w:vAlign w:val="center"/>
          </w:tcPr>
          <w:p>
            <w:r>
              <w:rPr>
                <w:b/>
                <w:bCs/>
                <w:color w:val="FFFFFF"/>
                <w:sz w:val="19"/>
                <w:szCs w:val="19"/>
              </w:rPr>
              <w:t xml:space="preserve">Headcount</w:t>
            </w:r>
          </w:p>
        </w:tc>
        <w:tc>
          <w:tcPr>
            <w:tcW w:type="dxa" w:w="1900"/>
            <w:shd w:fill="1F2937" w:val="clear"/>
            <w:tcMar>
              <w:top w:type="dxa" w:w="100"/>
              <w:left w:type="dxa" w:w="120"/>
              <w:bottom w:type="dxa" w:w="100"/>
              <w:right w:type="dxa" w:w="120"/>
            </w:tcMar>
            <w:vAlign w:val="center"/>
          </w:tcPr>
          <w:p>
            <w:r>
              <w:rPr>
                <w:b/>
                <w:bCs/>
                <w:color w:val="FFFFFF"/>
                <w:sz w:val="19"/>
                <w:szCs w:val="19"/>
              </w:rPr>
              <w:t xml:space="preserve">Coverage</w:t>
            </w:r>
          </w:p>
        </w:tc>
        <w:tc>
          <w:tcPr>
            <w:tcW w:type="dxa" w:w="2900"/>
            <w:shd w:fill="1F2937" w:val="clear"/>
            <w:tcMar>
              <w:top w:type="dxa" w:w="100"/>
              <w:left w:type="dxa" w:w="120"/>
              <w:bottom w:type="dxa" w:w="100"/>
              <w:right w:type="dxa" w:w="120"/>
            </w:tcMar>
            <w:vAlign w:val="center"/>
          </w:tcPr>
          <w:p>
            <w:r>
              <w:rPr>
                <w:b/>
                <w:bCs/>
                <w:color w:val="FFFFFF"/>
                <w:sz w:val="19"/>
                <w:szCs w:val="19"/>
              </w:rPr>
              <w:t xml:space="preserve">Est. Monthly Cost (AED)</w:t>
            </w:r>
          </w:p>
        </w:tc>
      </w:tr>
      <w:tr>
        <w:tc>
          <w:tcPr>
            <w:tcW w:type="dxa" w:w="3000"/>
            <w:shd w:fill="FFFFFF" w:val="clear"/>
            <w:tcMar>
              <w:top w:type="dxa" w:w="90"/>
              <w:left w:type="dxa" w:w="120"/>
              <w:bottom w:type="dxa" w:w="90"/>
              <w:right w:type="dxa" w:w="120"/>
            </w:tcMar>
            <w:vAlign w:val="center"/>
          </w:tcPr>
          <w:p>
            <w:r>
              <w:rPr>
                <w:b/>
                <w:bCs/>
                <w:i w:val="false"/>
                <w:iCs w:val="false"/>
                <w:color w:val="1F2937"/>
                <w:sz w:val="19"/>
                <w:szCs w:val="19"/>
              </w:rPr>
              <w:t xml:space="preserve">Receptionists (Arabic/English)</w:t>
            </w:r>
          </w:p>
        </w:tc>
        <w:tc>
          <w:tcPr>
            <w:tcW w:type="dxa" w:w="14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4</w:t>
            </w:r>
          </w:p>
        </w:tc>
        <w:tc>
          <w:tcPr>
            <w:tcW w:type="dxa" w:w="1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24/7</w:t>
            </w:r>
          </w:p>
        </w:tc>
        <w:tc>
          <w:tcPr>
            <w:tcW w:type="dxa" w:w="2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12,800</w:t>
            </w:r>
          </w:p>
        </w:tc>
      </w:tr>
      <w:tr>
        <w:tc>
          <w:tcPr>
            <w:tcW w:type="dxa" w:w="3000"/>
            <w:shd w:fill="F3F4F6" w:val="clear"/>
            <w:tcMar>
              <w:top w:type="dxa" w:w="90"/>
              <w:left w:type="dxa" w:w="120"/>
              <w:bottom w:type="dxa" w:w="90"/>
              <w:right w:type="dxa" w:w="120"/>
            </w:tcMar>
            <w:vAlign w:val="center"/>
          </w:tcPr>
          <w:p>
            <w:r>
              <w:rPr>
                <w:b/>
                <w:bCs/>
                <w:i w:val="false"/>
                <w:iCs w:val="false"/>
                <w:color w:val="1F2937"/>
                <w:sz w:val="19"/>
                <w:szCs w:val="19"/>
              </w:rPr>
              <w:t xml:space="preserve">Housekeeping staff</w:t>
            </w:r>
          </w:p>
        </w:tc>
        <w:tc>
          <w:tcPr>
            <w:tcW w:type="dxa" w:w="14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6</w:t>
            </w:r>
          </w:p>
        </w:tc>
        <w:tc>
          <w:tcPr>
            <w:tcW w:type="dxa" w:w="1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Daily</w:t>
            </w:r>
          </w:p>
        </w:tc>
        <w:tc>
          <w:tcPr>
            <w:tcW w:type="dxa" w:w="2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13,800</w:t>
            </w:r>
          </w:p>
        </w:tc>
      </w:tr>
      <w:tr>
        <w:tc>
          <w:tcPr>
            <w:tcW w:type="dxa" w:w="3000"/>
            <w:shd w:fill="FFFFFF" w:val="clear"/>
            <w:tcMar>
              <w:top w:type="dxa" w:w="90"/>
              <w:left w:type="dxa" w:w="120"/>
              <w:bottom w:type="dxa" w:w="90"/>
              <w:right w:type="dxa" w:w="120"/>
            </w:tcMar>
            <w:vAlign w:val="center"/>
          </w:tcPr>
          <w:p>
            <w:r>
              <w:rPr>
                <w:b/>
                <w:bCs/>
                <w:i w:val="false"/>
                <w:iCs w:val="false"/>
                <w:color w:val="1F2937"/>
                <w:sz w:val="19"/>
                <w:szCs w:val="19"/>
              </w:rPr>
              <w:t xml:space="preserve">Support staff / helpers</w:t>
            </w:r>
          </w:p>
        </w:tc>
        <w:tc>
          <w:tcPr>
            <w:tcW w:type="dxa" w:w="14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3</w:t>
            </w:r>
          </w:p>
        </w:tc>
        <w:tc>
          <w:tcPr>
            <w:tcW w:type="dxa" w:w="1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Daily</w:t>
            </w:r>
          </w:p>
        </w:tc>
        <w:tc>
          <w:tcPr>
            <w:tcW w:type="dxa" w:w="2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6,000</w:t>
            </w:r>
          </w:p>
        </w:tc>
      </w:tr>
      <w:tr>
        <w:tc>
          <w:tcPr>
            <w:tcW w:type="dxa" w:w="3000"/>
            <w:shd w:fill="F3F4F6" w:val="clear"/>
            <w:tcMar>
              <w:top w:type="dxa" w:w="90"/>
              <w:left w:type="dxa" w:w="120"/>
              <w:bottom w:type="dxa" w:w="90"/>
              <w:right w:type="dxa" w:w="120"/>
            </w:tcMar>
            <w:vAlign w:val="center"/>
          </w:tcPr>
          <w:p>
            <w:r>
              <w:rPr>
                <w:b/>
                <w:bCs/>
                <w:i w:val="false"/>
                <w:iCs w:val="false"/>
                <w:color w:val="1F2937"/>
                <w:sz w:val="19"/>
                <w:szCs w:val="19"/>
              </w:rPr>
              <w:t xml:space="preserve">Valet parking drivers</w:t>
            </w:r>
          </w:p>
        </w:tc>
        <w:tc>
          <w:tcPr>
            <w:tcW w:type="dxa" w:w="14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3</w:t>
            </w:r>
          </w:p>
        </w:tc>
        <w:tc>
          <w:tcPr>
            <w:tcW w:type="dxa" w:w="1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Peak hours</w:t>
            </w:r>
          </w:p>
        </w:tc>
        <w:tc>
          <w:tcPr>
            <w:tcW w:type="dxa" w:w="2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7,500</w:t>
            </w:r>
          </w:p>
        </w:tc>
      </w:tr>
      <w:tr>
        <w:tc>
          <w:tcPr>
            <w:tcW w:type="dxa" w:w="3000"/>
            <w:shd w:fill="FFFFFF" w:val="clear"/>
            <w:tcMar>
              <w:top w:type="dxa" w:w="90"/>
              <w:left w:type="dxa" w:w="120"/>
              <w:bottom w:type="dxa" w:w="90"/>
              <w:right w:type="dxa" w:w="120"/>
            </w:tcMar>
            <w:vAlign w:val="center"/>
          </w:tcPr>
          <w:p>
            <w:r>
              <w:rPr>
                <w:b/>
                <w:bCs/>
                <w:i w:val="false"/>
                <w:iCs w:val="false"/>
                <w:color w:val="1F2937"/>
                <w:sz w:val="19"/>
                <w:szCs w:val="19"/>
              </w:rPr>
              <w:t xml:space="preserve">Floor supervisors</w:t>
            </w:r>
          </w:p>
        </w:tc>
        <w:tc>
          <w:tcPr>
            <w:tcW w:type="dxa" w:w="14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2</w:t>
            </w:r>
          </w:p>
        </w:tc>
        <w:tc>
          <w:tcPr>
            <w:tcW w:type="dxa" w:w="1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Daily</w:t>
            </w:r>
          </w:p>
        </w:tc>
        <w:tc>
          <w:tcPr>
            <w:tcW w:type="dxa" w:w="2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9,000</w:t>
            </w:r>
          </w:p>
        </w:tc>
      </w:tr>
      <w:tr>
        <w:tc>
          <w:tcPr>
            <w:tcW w:type="dxa" w:w="3000"/>
            <w:shd w:fill="F3F4F6" w:val="clear"/>
            <w:tcMar>
              <w:top w:type="dxa" w:w="90"/>
              <w:left w:type="dxa" w:w="120"/>
              <w:bottom w:type="dxa" w:w="90"/>
              <w:right w:type="dxa" w:w="120"/>
            </w:tcMar>
            <w:vAlign w:val="center"/>
          </w:tcPr>
          <w:p>
            <w:r>
              <w:rPr>
                <w:b/>
                <w:bCs/>
                <w:i w:val="false"/>
                <w:iCs w:val="false"/>
                <w:color w:val="1F2937"/>
                <w:sz w:val="19"/>
                <w:szCs w:val="19"/>
              </w:rPr>
              <w:t xml:space="preserve">Security personnel</w:t>
            </w:r>
          </w:p>
        </w:tc>
        <w:tc>
          <w:tcPr>
            <w:tcW w:type="dxa" w:w="14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4</w:t>
            </w:r>
          </w:p>
        </w:tc>
        <w:tc>
          <w:tcPr>
            <w:tcW w:type="dxa" w:w="1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24/7</w:t>
            </w:r>
          </w:p>
        </w:tc>
        <w:tc>
          <w:tcPr>
            <w:tcW w:type="dxa" w:w="2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10,400</w:t>
            </w:r>
          </w:p>
        </w:tc>
      </w:tr>
      <w:tr>
        <w:tc>
          <w:tcPr>
            <w:tcW w:type="dxa" w:w="3000"/>
            <w:shd w:fill="FFFFFF" w:val="clear"/>
            <w:tcMar>
              <w:top w:type="dxa" w:w="90"/>
              <w:left w:type="dxa" w:w="120"/>
              <w:bottom w:type="dxa" w:w="90"/>
              <w:right w:type="dxa" w:w="120"/>
            </w:tcMar>
            <w:vAlign w:val="center"/>
          </w:tcPr>
          <w:p>
            <w:r>
              <w:rPr>
                <w:b/>
                <w:bCs/>
                <w:i w:val="false"/>
                <w:iCs w:val="false"/>
                <w:color w:val="1F2937"/>
                <w:sz w:val="19"/>
                <w:szCs w:val="19"/>
              </w:rPr>
              <w:t xml:space="preserve">Pool lifeguards</w:t>
            </w:r>
          </w:p>
        </w:tc>
        <w:tc>
          <w:tcPr>
            <w:tcW w:type="dxa" w:w="14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2</w:t>
            </w:r>
          </w:p>
        </w:tc>
        <w:tc>
          <w:tcPr>
            <w:tcW w:type="dxa" w:w="1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Operating hours</w:t>
            </w:r>
          </w:p>
        </w:tc>
        <w:tc>
          <w:tcPr>
            <w:tcW w:type="dxa" w:w="2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6,000</w:t>
            </w:r>
          </w:p>
        </w:tc>
      </w:tr>
      <w:tr>
        <w:tc>
          <w:tcPr>
            <w:tcW w:type="dxa" w:w="3000"/>
            <w:shd w:fill="F3F4F6" w:val="clear"/>
            <w:tcMar>
              <w:top w:type="dxa" w:w="90"/>
              <w:left w:type="dxa" w:w="120"/>
              <w:bottom w:type="dxa" w:w="90"/>
              <w:right w:type="dxa" w:w="120"/>
            </w:tcMar>
            <w:vAlign w:val="center"/>
          </w:tcPr>
          <w:p>
            <w:r>
              <w:rPr>
                <w:b/>
                <w:bCs/>
                <w:i w:val="false"/>
                <w:iCs w:val="false"/>
                <w:color w:val="1F2937"/>
                <w:sz w:val="19"/>
                <w:szCs w:val="19"/>
              </w:rPr>
              <w:t xml:space="preserve">Office boys</w:t>
            </w:r>
          </w:p>
        </w:tc>
        <w:tc>
          <w:tcPr>
            <w:tcW w:type="dxa" w:w="14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2</w:t>
            </w:r>
          </w:p>
        </w:tc>
        <w:tc>
          <w:tcPr>
            <w:tcW w:type="dxa" w:w="1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Daily</w:t>
            </w:r>
          </w:p>
        </w:tc>
        <w:tc>
          <w:tcPr>
            <w:tcW w:type="dxa" w:w="29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3,600</w:t>
            </w:r>
          </w:p>
        </w:tc>
      </w:tr>
      <w:tr>
        <w:tc>
          <w:tcPr>
            <w:tcW w:type="dxa" w:w="3000"/>
            <w:shd w:fill="FFFFFF" w:val="clear"/>
            <w:tcMar>
              <w:top w:type="dxa" w:w="90"/>
              <w:left w:type="dxa" w:w="120"/>
              <w:bottom w:type="dxa" w:w="90"/>
              <w:right w:type="dxa" w:w="120"/>
            </w:tcMar>
            <w:vAlign w:val="center"/>
          </w:tcPr>
          <w:p>
            <w:r>
              <w:rPr>
                <w:b/>
                <w:bCs/>
                <w:i w:val="false"/>
                <w:iCs w:val="false"/>
                <w:color w:val="1F2937"/>
                <w:sz w:val="19"/>
                <w:szCs w:val="19"/>
              </w:rPr>
              <w:t xml:space="preserve">Total estimated monthly payroll</w:t>
            </w:r>
          </w:p>
        </w:tc>
        <w:tc>
          <w:tcPr>
            <w:tcW w:type="dxa" w:w="14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26</w:t>
            </w:r>
          </w:p>
        </w:tc>
        <w:tc>
          <w:tcPr>
            <w:tcW w:type="dxa" w:w="1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
            </w:r>
          </w:p>
        </w:tc>
        <w:tc>
          <w:tcPr>
            <w:tcW w:type="dxa" w:w="29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AED 69,100</w:t>
            </w:r>
          </w:p>
        </w:tc>
      </w:tr>
    </w:tbl>
    <w:p>
      <w:pPr>
        <w:spacing w:after="160" w:line="276"/>
      </w:pPr>
      <w:r>
        <w:rPr>
          <w:i w:val="false"/>
          <w:iCs w:val="false"/>
          <w:color w:val="1F2937"/>
          <w:sz w:val="22"/>
          <w:szCs w:val="22"/>
        </w:rPr>
        <w:t xml:space="preserve">This payroll estimate excludes the FM partner's own management fee, which is quoted separately by Abu Dhabi National Hotels / National Catering Company. Where operationally required, staffing coverage will be maintained on a 24/7 basis to ensure uninterrupted service delivery and guest satisfaction. Final headcount and payroll figures will be confirmed once occupancy targets and actual unit count are agreed, and will be presented to ownership for approval prior to mobilization.</w:t>
      </w:r>
    </w:p>
    <w:p>
      <w:pPr>
        <w:pStyle w:val="Heading2"/>
        <w:spacing w:after="140" w:before="280"/>
      </w:pPr>
      <w:r>
        <w:rPr>
          <w:b/>
          <w:bCs/>
          <w:color w:val="8A6D3B"/>
          <w:sz w:val="24"/>
          <w:szCs w:val="24"/>
        </w:rPr>
        <w:t xml:space="preserve">Preferred Facilities Management Partners</w:t>
      </w:r>
    </w:p>
    <w:p>
      <w:pPr>
        <w:spacing w:after="160" w:line="276"/>
      </w:pPr>
      <w:r>
        <w:rPr>
          <w:i w:val="false"/>
          <w:iCs w:val="false"/>
          <w:color w:val="1F2937"/>
          <w:sz w:val="22"/>
          <w:szCs w:val="22"/>
        </w:rPr>
        <w:t xml:space="preserve">To support these objectives, REOM Homes recommends engaging Abu Dhabi National Hotels or National Catering Company as preferred Facilities Management partners. Based on REOM Homes' experience working alongside both organizations on prior projects, their teams have consistently demonstrated exceptional professionalism, service quality, hygiene standards, and operational reliability.</w:t>
      </w:r>
    </w:p>
    <w:p>
      <w:pPr>
        <w:spacing w:after="160" w:line="276"/>
      </w:pPr>
      <w:r>
        <w:rPr>
          <w:i w:val="false"/>
          <w:iCs w:val="false"/>
          <w:color w:val="1F2937"/>
          <w:sz w:val="22"/>
          <w:szCs w:val="22"/>
        </w:rPr>
        <w:t xml:space="preserve">REOM Homes maintains established relationships with the leadership teams of both organizations, which enables access to preferential commercial terms and competitive pricing structures. For full transparency, REOM Homes confirms it does not receive any referral fee, commission, or other financial benefit from either organization in connection with this recommendation; the benefit to ownership is limited to preferential pricing secured through these existing relationships. Ownership is welcome to request competing quotes from alternative providers before a partner is confirmed.</w:t>
      </w:r>
    </w:p>
    <w:p>
      <w:pPr>
        <w:pStyle w:val="Heading2"/>
        <w:spacing w:after="140" w:before="280"/>
      </w:pPr>
      <w:r>
        <w:rPr>
          <w:b/>
          <w:bCs/>
          <w:color w:val="8A6D3B"/>
          <w:sz w:val="24"/>
          <w:szCs w:val="24"/>
        </w:rPr>
        <w:t xml:space="preserve">On-Site Management Presence</w:t>
      </w:r>
    </w:p>
    <w:p>
      <w:pPr>
        <w:spacing w:after="160" w:line="276"/>
      </w:pPr>
      <w:r>
        <w:rPr>
          <w:i w:val="false"/>
          <w:iCs w:val="false"/>
          <w:color w:val="1F2937"/>
          <w:sz w:val="22"/>
          <w:szCs w:val="22"/>
        </w:rPr>
        <w:t xml:space="preserve">To ensure successful implementation of the proposed operational strategy and maintain direct oversight of all property functions, REOM Homes will allocate key members of its management and operations team to work directly from Blumont Capital Tower upon execution of a formal management agreement.</w:t>
      </w:r>
    </w:p>
    <w:tbl>
      <w:tblPr>
        <w:tblW w:type="pct" w:w="100%"/>
        <w:tblBorders>
          <w:top w:val="single" w:color="C99A3B" w:sz="4"/>
          <w:left w:val="single" w:color="C99A3B" w:sz="4"/>
          <w:bottom w:val="single" w:color="C99A3B" w:sz="4"/>
          <w:right w:val="single" w:color="C99A3B" w:sz="4"/>
          <w:insideH w:val="none" w:color="FFFFFF" w:sz="0"/>
          <w:insideV w:val="none" w:color="FFFFFF" w:sz="0"/>
        </w:tblBorders>
      </w:tblPr>
      <w:tblGrid>
        <w:gridCol w:w="100"/>
      </w:tblGrid>
      <w:tr>
        <w:tc>
          <w:tcPr>
            <w:shd w:fill="FFF7E6" w:val="clear"/>
            <w:tcMar>
              <w:top w:type="dxa" w:w="140"/>
              <w:left w:type="dxa" w:w="200"/>
              <w:bottom w:type="dxa" w:w="140"/>
              <w:right w:type="dxa" w:w="200"/>
            </w:tcMar>
          </w:tcPr>
          <w:p>
            <w:pPr>
              <w:spacing w:after="60"/>
            </w:pPr>
            <w:r>
              <w:rPr>
                <w:b/>
                <w:bCs/>
                <w:color w:val="C99A3B"/>
                <w:sz w:val="20"/>
                <w:szCs w:val="20"/>
              </w:rPr>
              <w:t xml:space="preserve">Point of Contact — to confirm</w:t>
            </w:r>
          </w:p>
          <w:p>
            <w:r>
              <w:rPr>
                <w:i/>
                <w:iCs/>
                <w:color w:val="1F2937"/>
                <w:sz w:val="21"/>
                <w:szCs w:val="21"/>
              </w:rPr>
              <w:t xml:space="preserve">On-site General Manager: [Name to be confirmed]   |   Direct line: [____]   |   Email: [____]@reomhomes.ae</w:t>
            </w:r>
          </w:p>
        </w:tc>
      </w:tr>
    </w:tbl>
    <w:p>
      <w:pPr>
        <w:spacing w:after="160" w:line="276"/>
      </w:pPr>
      <w:r>
        <w:rPr>
          <w:i w:val="false"/>
          <w:iCs w:val="false"/>
          <w:color w:val="1F2937"/>
          <w:sz w:val="22"/>
          <w:szCs w:val="22"/>
        </w:rPr>
        <w:t xml:space="preserve">The presence of on-site management personnel will ensure direct supervision of daily operations, immediate response to operational requirements, improved coordination between departments, enhanced quality control and service standards, continuous monitoring of property performance, and stronger communication with ownership and stakeholders.</w:t>
      </w:r>
    </w:p>
    <w:p>
      <w:pPr>
        <w:pStyle w:val="Heading2"/>
        <w:spacing w:after="140" w:before="280"/>
      </w:pPr>
      <w:r>
        <w:rPr>
          <w:b/>
          <w:bCs/>
          <w:color w:val="8A6D3B"/>
          <w:sz w:val="24"/>
          <w:szCs w:val="24"/>
        </w:rPr>
        <w:t xml:space="preserve">Reporting to Ownership</w:t>
      </w:r>
    </w:p>
    <w:p>
      <w:pPr>
        <w:spacing w:after="160" w:line="276"/>
      </w:pPr>
      <w:r>
        <w:rPr>
          <w:i w:val="false"/>
          <w:iCs w:val="false"/>
          <w:color w:val="1F2937"/>
          <w:sz w:val="22"/>
          <w:szCs w:val="22"/>
        </w:rPr>
        <w:t xml:space="preserve">REOM Homes will provide ownership with a monthly operating report covering occupancy, ADR, RevPAR, gross revenue, GOP, commercial leasing status, maintenance activity, and guest satisfaction metrics, along with a semi-annual business review ahead of each Incentive Management Fee calculation. Performance will be tracked against the occupancy and ADR targets confirmed in Section 1.</w:t>
      </w:r>
    </w:p>
    <w:p>
      <w:pPr>
        <w:pStyle w:val="Heading1"/>
        <w:pBdr>
          <w:bottom w:val="single" w:color="8A6D3B" w:sz="6" w:space="4"/>
        </w:pBdr>
        <w:spacing w:after="200" w:before="420"/>
      </w:pPr>
      <w:r>
        <w:rPr>
          <w:b/>
          <w:bCs/>
          <w:color w:val="1F2937"/>
          <w:sz w:val="30"/>
          <w:szCs w:val="30"/>
        </w:rPr>
        <w:t xml:space="preserve">5. Property Enhancement &amp; Asset Repositioning</w:t>
      </w:r>
    </w:p>
    <w:p>
      <w:pPr>
        <w:spacing w:after="160" w:line="276"/>
      </w:pPr>
      <w:r>
        <w:rPr>
          <w:i w:val="false"/>
          <w:iCs w:val="false"/>
          <w:color w:val="1F2937"/>
          <w:sz w:val="22"/>
          <w:szCs w:val="22"/>
        </w:rPr>
        <w:t xml:space="preserve">A key discussion point focused on improving the property's overall appearance, functionality, and first impressions.</w:t>
      </w:r>
    </w:p>
    <w:p>
      <w:pPr>
        <w:pStyle w:val="Heading2"/>
        <w:spacing w:after="140" w:before="280"/>
      </w:pPr>
      <w:r>
        <w:rPr>
          <w:b/>
          <w:bCs/>
          <w:color w:val="8A6D3B"/>
          <w:sz w:val="24"/>
          <w:szCs w:val="24"/>
        </w:rPr>
        <w:t xml:space="preserve">Lighting Improvements</w:t>
      </w:r>
    </w:p>
    <w:p>
      <w:pPr>
        <w:spacing w:after="160" w:line="276"/>
      </w:pPr>
      <w:r>
        <w:rPr>
          <w:i w:val="false"/>
          <w:iCs w:val="false"/>
          <w:color w:val="1F2937"/>
          <w:sz w:val="22"/>
          <w:szCs w:val="22"/>
        </w:rPr>
        <w:t xml:space="preserve">Enhanced lighting throughout the property was identified as a priority, particularly within:</w:t>
      </w:r>
    </w:p>
    <w:p>
      <w:pPr>
        <w:pStyle w:val="ListParagraph"/>
        <w:numPr>
          <w:ilvl w:val="0"/>
          <w:numId w:val="2"/>
        </w:numPr>
        <w:spacing w:after="80"/>
      </w:pPr>
      <w:r>
        <w:rPr>
          <w:color w:val="1F2937"/>
          <w:sz w:val="22"/>
          <w:szCs w:val="22"/>
        </w:rPr>
        <w:t xml:space="preserve">Parking facilities</w:t>
      </w:r>
    </w:p>
    <w:p>
      <w:pPr>
        <w:pStyle w:val="ListParagraph"/>
        <w:numPr>
          <w:ilvl w:val="0"/>
          <w:numId w:val="2"/>
        </w:numPr>
        <w:spacing w:after="80"/>
      </w:pPr>
      <w:r>
        <w:rPr>
          <w:color w:val="1F2937"/>
          <w:sz w:val="22"/>
          <w:szCs w:val="22"/>
        </w:rPr>
        <w:t xml:space="preserve">Elevator lobbies</w:t>
      </w:r>
    </w:p>
    <w:p>
      <w:pPr>
        <w:pStyle w:val="ListParagraph"/>
        <w:numPr>
          <w:ilvl w:val="0"/>
          <w:numId w:val="2"/>
        </w:numPr>
        <w:spacing w:after="80"/>
      </w:pPr>
      <w:r>
        <w:rPr>
          <w:color w:val="1F2937"/>
          <w:sz w:val="22"/>
          <w:szCs w:val="22"/>
        </w:rPr>
        <w:t xml:space="preserve">Corridors and hallways</w:t>
      </w:r>
    </w:p>
    <w:p>
      <w:pPr>
        <w:pStyle w:val="ListParagraph"/>
        <w:numPr>
          <w:ilvl w:val="0"/>
          <w:numId w:val="2"/>
        </w:numPr>
        <w:spacing w:after="80"/>
      </w:pPr>
      <w:r>
        <w:rPr>
          <w:color w:val="1F2937"/>
          <w:sz w:val="22"/>
          <w:szCs w:val="22"/>
        </w:rPr>
        <w:t xml:space="preserve">Main reception and lobby areas</w:t>
      </w:r>
    </w:p>
    <w:p>
      <w:pPr>
        <w:spacing w:after="160" w:line="276"/>
      </w:pPr>
      <w:r>
        <w:rPr>
          <w:i w:val="false"/>
          <w:iCs w:val="false"/>
          <w:color w:val="1F2937"/>
          <w:sz w:val="22"/>
          <w:szCs w:val="22"/>
        </w:rPr>
        <w:t xml:space="preserve">Improved lighting design, visibility, and contrast will significantly enhance the property's aesthetics, safety standards, and overall guest experience.</w:t>
      </w:r>
    </w:p>
    <w:p>
      <w:pPr>
        <w:pStyle w:val="Heading2"/>
        <w:spacing w:after="140" w:before="280"/>
      </w:pPr>
      <w:r>
        <w:rPr>
          <w:b/>
          <w:bCs/>
          <w:color w:val="8A6D3B"/>
          <w:sz w:val="24"/>
          <w:szCs w:val="24"/>
        </w:rPr>
        <w:t xml:space="preserve">Lobby &amp; Reception Transformation</w:t>
      </w:r>
    </w:p>
    <w:p>
      <w:pPr>
        <w:spacing w:after="160" w:line="276"/>
      </w:pPr>
      <w:r>
        <w:rPr>
          <w:i w:val="false"/>
          <w:iCs w:val="false"/>
          <w:color w:val="1F2937"/>
          <w:sz w:val="22"/>
          <w:szCs w:val="22"/>
        </w:rPr>
        <w:t xml:space="preserve">As the first point of interaction for guests and visitors, the lobby and reception areas should reflect a modern, welcoming, and professionally managed hospitality environment. Recommended improvements include:</w:t>
      </w:r>
    </w:p>
    <w:p>
      <w:pPr>
        <w:pStyle w:val="ListParagraph"/>
        <w:numPr>
          <w:ilvl w:val="0"/>
          <w:numId w:val="2"/>
        </w:numPr>
        <w:spacing w:after="80"/>
      </w:pPr>
      <w:r>
        <w:rPr>
          <w:color w:val="1F2937"/>
          <w:sz w:val="22"/>
          <w:szCs w:val="22"/>
        </w:rPr>
        <w:t xml:space="preserve">Seating arrangements</w:t>
      </w:r>
    </w:p>
    <w:p>
      <w:pPr>
        <w:pStyle w:val="ListParagraph"/>
        <w:numPr>
          <w:ilvl w:val="0"/>
          <w:numId w:val="2"/>
        </w:numPr>
        <w:spacing w:after="80"/>
      </w:pPr>
      <w:r>
        <w:rPr>
          <w:color w:val="1F2937"/>
          <w:sz w:val="22"/>
          <w:szCs w:val="22"/>
        </w:rPr>
        <w:t xml:space="preserve">Contemporary decorative elements</w:t>
      </w:r>
    </w:p>
    <w:p>
      <w:pPr>
        <w:pStyle w:val="ListParagraph"/>
        <w:numPr>
          <w:ilvl w:val="0"/>
          <w:numId w:val="2"/>
        </w:numPr>
        <w:spacing w:after="80"/>
      </w:pPr>
      <w:r>
        <w:rPr>
          <w:color w:val="1F2937"/>
          <w:sz w:val="22"/>
          <w:szCs w:val="22"/>
        </w:rPr>
        <w:t xml:space="preserve">Enhanced layout and functionality</w:t>
      </w:r>
    </w:p>
    <w:p>
      <w:pPr>
        <w:pStyle w:val="ListParagraph"/>
        <w:numPr>
          <w:ilvl w:val="0"/>
          <w:numId w:val="2"/>
        </w:numPr>
        <w:spacing w:after="80"/>
      </w:pPr>
      <w:r>
        <w:rPr>
          <w:color w:val="1F2937"/>
          <w:sz w:val="22"/>
          <w:szCs w:val="22"/>
        </w:rPr>
        <w:t xml:space="preserve">Arrangements of the reception and front desk area</w:t>
      </w:r>
    </w:p>
    <w:p>
      <w:pPr>
        <w:pStyle w:val="ListParagraph"/>
        <w:numPr>
          <w:ilvl w:val="0"/>
          <w:numId w:val="2"/>
        </w:numPr>
        <w:spacing w:after="80"/>
      </w:pPr>
      <w:r>
        <w:rPr>
          <w:color w:val="1F2937"/>
          <w:sz w:val="22"/>
          <w:szCs w:val="22"/>
        </w:rPr>
        <w:t xml:space="preserve">Improved guest check-in and check-out experience</w:t>
      </w:r>
    </w:p>
    <w:p>
      <w:pPr>
        <w:pStyle w:val="Heading2"/>
        <w:spacing w:after="140" w:before="280"/>
      </w:pPr>
      <w:r>
        <w:rPr>
          <w:b/>
          <w:bCs/>
          <w:color w:val="8A6D3B"/>
          <w:sz w:val="24"/>
          <w:szCs w:val="24"/>
        </w:rPr>
        <w:t xml:space="preserve">Capital Expenditure Summary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2600"/>
        <w:gridCol w:w="1800"/>
        <w:gridCol w:w="1600"/>
      </w:tblGrid>
      <w:tr>
        <w:trPr>
          <w:tblHeader/>
        </w:trPr>
        <w:tc>
          <w:tcPr>
            <w:tcW w:type="dxa" w:w="3200"/>
            <w:shd w:fill="1F2937" w:val="clear"/>
            <w:tcMar>
              <w:top w:type="dxa" w:w="100"/>
              <w:left w:type="dxa" w:w="120"/>
              <w:bottom w:type="dxa" w:w="100"/>
              <w:right w:type="dxa" w:w="120"/>
            </w:tcMar>
            <w:vAlign w:val="center"/>
          </w:tcPr>
          <w:p>
            <w:r>
              <w:rPr>
                <w:b/>
                <w:bCs/>
                <w:color w:val="FFFFFF"/>
                <w:sz w:val="19"/>
                <w:szCs w:val="19"/>
              </w:rPr>
              <w:t xml:space="preserve">Item</w:t>
            </w:r>
          </w:p>
        </w:tc>
        <w:tc>
          <w:tcPr>
            <w:tcW w:type="dxa" w:w="2600"/>
            <w:shd w:fill="1F2937" w:val="clear"/>
            <w:tcMar>
              <w:top w:type="dxa" w:w="100"/>
              <w:left w:type="dxa" w:w="120"/>
              <w:bottom w:type="dxa" w:w="100"/>
              <w:right w:type="dxa" w:w="120"/>
            </w:tcMar>
            <w:vAlign w:val="center"/>
          </w:tcPr>
          <w:p>
            <w:r>
              <w:rPr>
                <w:b/>
                <w:bCs/>
                <w:color w:val="FFFFFF"/>
                <w:sz w:val="19"/>
                <w:szCs w:val="19"/>
              </w:rPr>
              <w:t xml:space="preserve">Funding Source</w:t>
            </w:r>
          </w:p>
        </w:tc>
        <w:tc>
          <w:tcPr>
            <w:tcW w:type="dxa" w:w="1800"/>
            <w:shd w:fill="1F2937" w:val="clear"/>
            <w:tcMar>
              <w:top w:type="dxa" w:w="100"/>
              <w:left w:type="dxa" w:w="120"/>
              <w:bottom w:type="dxa" w:w="100"/>
              <w:right w:type="dxa" w:w="120"/>
            </w:tcMar>
            <w:vAlign w:val="center"/>
          </w:tcPr>
          <w:p>
            <w:r>
              <w:rPr>
                <w:b/>
                <w:bCs/>
                <w:color w:val="FFFFFF"/>
                <w:sz w:val="19"/>
                <w:szCs w:val="19"/>
              </w:rPr>
              <w:t xml:space="preserve">Est. Cost (AED)</w:t>
            </w:r>
          </w:p>
        </w:tc>
        <w:tc>
          <w:tcPr>
            <w:tcW w:type="dxa" w:w="1600"/>
            <w:shd w:fill="1F2937" w:val="clear"/>
            <w:tcMar>
              <w:top w:type="dxa" w:w="100"/>
              <w:left w:type="dxa" w:w="120"/>
              <w:bottom w:type="dxa" w:w="100"/>
              <w:right w:type="dxa" w:w="120"/>
            </w:tcMar>
            <w:vAlign w:val="center"/>
          </w:tcPr>
          <w:p>
            <w:r>
              <w:rP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r>
              <w:rPr>
                <w:b/>
                <w:bCs/>
                <w:i w:val="false"/>
                <w:iCs w:val="false"/>
                <w:color w:val="1F2937"/>
                <w:sz w:val="19"/>
                <w:szCs w:val="19"/>
              </w:rPr>
              <w:t xml:space="preserve">Lighting upgrades (parking, lobbies, corridors)</w:t>
            </w:r>
          </w:p>
        </w:tc>
        <w:tc>
          <w:tcPr>
            <w:tcW w:type="dxa" w:w="26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Owner-funded capex</w:t>
            </w:r>
          </w:p>
        </w:tc>
        <w:tc>
          <w:tcPr>
            <w:tcW w:type="dxa" w:w="1800"/>
            <w:shd w:fill="FFFFFF" w:val="clear"/>
            <w:tcMar>
              <w:top w:type="dxa" w:w="90"/>
              <w:left w:type="dxa" w:w="120"/>
              <w:bottom w:type="dxa" w:w="90"/>
              <w:right w:type="dxa" w:w="120"/>
            </w:tcMar>
            <w:vAlign w:val="center"/>
          </w:tcPr>
          <w:p>
            <w:r>
              <w:rPr>
                <w:b/>
                <w:bCs/>
                <w:i/>
                <w:iCs/>
                <w:color w:val="8A6D3B"/>
                <w:sz w:val="19"/>
                <w:szCs w:val="19"/>
              </w:rPr>
              <w:t xml:space="preserve">[____]</w:t>
            </w:r>
          </w:p>
        </w:tc>
        <w:tc>
          <w:tcPr>
            <w:tcW w:type="dxa" w:w="16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Phase 2</w:t>
            </w:r>
          </w:p>
        </w:tc>
      </w:tr>
      <w:tr>
        <w:tc>
          <w:tcPr>
            <w:tcW w:type="dxa" w:w="3200"/>
            <w:shd w:fill="F3F4F6" w:val="clear"/>
            <w:tcMar>
              <w:top w:type="dxa" w:w="90"/>
              <w:left w:type="dxa" w:w="120"/>
              <w:bottom w:type="dxa" w:w="90"/>
              <w:right w:type="dxa" w:w="120"/>
            </w:tcMar>
            <w:vAlign w:val="center"/>
          </w:tcPr>
          <w:p>
            <w:r>
              <w:rPr>
                <w:b/>
                <w:bCs/>
                <w:i w:val="false"/>
                <w:iCs w:val="false"/>
                <w:color w:val="1F2937"/>
                <w:sz w:val="19"/>
                <w:szCs w:val="19"/>
              </w:rPr>
              <w:t xml:space="preserve">Lobby &amp; reception transformation</w:t>
            </w:r>
          </w:p>
        </w:tc>
        <w:tc>
          <w:tcPr>
            <w:tcW w:type="dxa" w:w="26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Owner-funded capex</w:t>
            </w:r>
          </w:p>
        </w:tc>
        <w:tc>
          <w:tcPr>
            <w:tcW w:type="dxa" w:w="1800"/>
            <w:shd w:fill="F3F4F6" w:val="clear"/>
            <w:tcMar>
              <w:top w:type="dxa" w:w="90"/>
              <w:left w:type="dxa" w:w="120"/>
              <w:bottom w:type="dxa" w:w="90"/>
              <w:right w:type="dxa" w:w="120"/>
            </w:tcMar>
            <w:vAlign w:val="center"/>
          </w:tcPr>
          <w:p>
            <w:r>
              <w:rPr>
                <w:b/>
                <w:bCs/>
                <w:i/>
                <w:iCs/>
                <w:color w:val="8A6D3B"/>
                <w:sz w:val="19"/>
                <w:szCs w:val="19"/>
              </w:rPr>
              <w:t xml:space="preserve">[____]</w:t>
            </w:r>
          </w:p>
        </w:tc>
        <w:tc>
          <w:tcPr>
            <w:tcW w:type="dxa" w:w="16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Phase 2</w:t>
            </w:r>
          </w:p>
        </w:tc>
      </w:tr>
      <w:tr>
        <w:tc>
          <w:tcPr>
            <w:tcW w:type="dxa" w:w="3200"/>
            <w:shd w:fill="FFFFFF" w:val="clear"/>
            <w:tcMar>
              <w:top w:type="dxa" w:w="90"/>
              <w:left w:type="dxa" w:w="120"/>
              <w:bottom w:type="dxa" w:w="90"/>
              <w:right w:type="dxa" w:w="120"/>
            </w:tcMar>
            <w:vAlign w:val="center"/>
          </w:tcPr>
          <w:p>
            <w:r>
              <w:rPr>
                <w:b/>
                <w:bCs/>
                <w:i w:val="false"/>
                <w:iCs w:val="false"/>
                <w:color w:val="1F2937"/>
                <w:sz w:val="19"/>
                <w:szCs w:val="19"/>
              </w:rPr>
              <w:t xml:space="preserve">CCTV system audit/upgrade</w:t>
            </w:r>
          </w:p>
        </w:tc>
        <w:tc>
          <w:tcPr>
            <w:tcW w:type="dxa" w:w="26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Owner-funded capex</w:t>
            </w:r>
          </w:p>
        </w:tc>
        <w:tc>
          <w:tcPr>
            <w:tcW w:type="dxa" w:w="1800"/>
            <w:shd w:fill="FFFFFF" w:val="clear"/>
            <w:tcMar>
              <w:top w:type="dxa" w:w="90"/>
              <w:left w:type="dxa" w:w="120"/>
              <w:bottom w:type="dxa" w:w="90"/>
              <w:right w:type="dxa" w:w="120"/>
            </w:tcMar>
            <w:vAlign w:val="center"/>
          </w:tcPr>
          <w:p>
            <w:r>
              <w:rPr>
                <w:b/>
                <w:bCs/>
                <w:i/>
                <w:iCs/>
                <w:color w:val="8A6D3B"/>
                <w:sz w:val="19"/>
                <w:szCs w:val="19"/>
              </w:rPr>
              <w:t xml:space="preserve">[____]</w:t>
            </w:r>
          </w:p>
        </w:tc>
        <w:tc>
          <w:tcPr>
            <w:tcW w:type="dxa" w:w="16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Phase 1</w:t>
            </w:r>
          </w:p>
        </w:tc>
      </w:tr>
      <w:tr>
        <w:tc>
          <w:tcPr>
            <w:tcW w:type="dxa" w:w="3200"/>
            <w:shd w:fill="F3F4F6" w:val="clear"/>
            <w:tcMar>
              <w:top w:type="dxa" w:w="90"/>
              <w:left w:type="dxa" w:w="120"/>
              <w:bottom w:type="dxa" w:w="90"/>
              <w:right w:type="dxa" w:w="120"/>
            </w:tcMar>
            <w:vAlign w:val="center"/>
          </w:tcPr>
          <w:p>
            <w:r>
              <w:rPr>
                <w:b/>
                <w:bCs/>
                <w:i w:val="false"/>
                <w:iCs w:val="false"/>
                <w:color w:val="1F2937"/>
                <w:sz w:val="19"/>
                <w:szCs w:val="19"/>
              </w:rPr>
              <w:t xml:space="preserve">Scent diffusion systems</w:t>
            </w:r>
          </w:p>
        </w:tc>
        <w:tc>
          <w:tcPr>
            <w:tcW w:type="dxa" w:w="26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Commercial leasing revenue</w:t>
            </w:r>
          </w:p>
        </w:tc>
        <w:tc>
          <w:tcPr>
            <w:tcW w:type="dxa" w:w="1800"/>
            <w:shd w:fill="F3F4F6" w:val="clear"/>
            <w:tcMar>
              <w:top w:type="dxa" w:w="90"/>
              <w:left w:type="dxa" w:w="120"/>
              <w:bottom w:type="dxa" w:w="90"/>
              <w:right w:type="dxa" w:w="120"/>
            </w:tcMar>
            <w:vAlign w:val="center"/>
          </w:tcPr>
          <w:p>
            <w:r>
              <w:rPr>
                <w:b/>
                <w:bCs/>
                <w:i/>
                <w:iCs/>
                <w:color w:val="8A6D3B"/>
                <w:sz w:val="19"/>
                <w:szCs w:val="19"/>
              </w:rPr>
              <w:t xml:space="preserve">[____]</w:t>
            </w:r>
          </w:p>
        </w:tc>
        <w:tc>
          <w:tcPr>
            <w:tcW w:type="dxa" w:w="1600"/>
            <w:shd w:fill="F3F4F6" w:val="clear"/>
            <w:tcMar>
              <w:top w:type="dxa" w:w="90"/>
              <w:left w:type="dxa" w:w="120"/>
              <w:bottom w:type="dxa" w:w="90"/>
              <w:right w:type="dxa" w:w="120"/>
            </w:tcMar>
            <w:vAlign w:val="center"/>
          </w:tcPr>
          <w:p>
            <w:r>
              <w:rPr>
                <w:b w:val="false"/>
                <w:bCs w:val="false"/>
                <w:i w:val="false"/>
                <w:iCs w:val="false"/>
                <w:color w:val="1F2937"/>
                <w:sz w:val="19"/>
                <w:szCs w:val="19"/>
              </w:rPr>
              <w:t xml:space="preserve">Phase 3</w:t>
            </w:r>
          </w:p>
        </w:tc>
      </w:tr>
      <w:tr>
        <w:tc>
          <w:tcPr>
            <w:tcW w:type="dxa" w:w="3200"/>
            <w:shd w:fill="FFFFFF" w:val="clear"/>
            <w:tcMar>
              <w:top w:type="dxa" w:w="90"/>
              <w:left w:type="dxa" w:w="120"/>
              <w:bottom w:type="dxa" w:w="90"/>
              <w:right w:type="dxa" w:w="120"/>
            </w:tcMar>
            <w:vAlign w:val="center"/>
          </w:tcPr>
          <w:p>
            <w:r>
              <w:rPr>
                <w:b/>
                <w:bCs/>
                <w:i w:val="false"/>
                <w:iCs w:val="false"/>
                <w:color w:val="1F2937"/>
                <w:sz w:val="19"/>
                <w:szCs w:val="19"/>
              </w:rPr>
              <w:t xml:space="preserve">Kitchenette conversions (per unit)</w:t>
            </w:r>
          </w:p>
        </w:tc>
        <w:tc>
          <w:tcPr>
            <w:tcW w:type="dxa" w:w="26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Owner-funded capex</w:t>
            </w:r>
          </w:p>
        </w:tc>
        <w:tc>
          <w:tcPr>
            <w:tcW w:type="dxa" w:w="1800"/>
            <w:shd w:fill="FFFFFF" w:val="clear"/>
            <w:tcMar>
              <w:top w:type="dxa" w:w="90"/>
              <w:left w:type="dxa" w:w="120"/>
              <w:bottom w:type="dxa" w:w="90"/>
              <w:right w:type="dxa" w:w="120"/>
            </w:tcMar>
            <w:vAlign w:val="center"/>
          </w:tcPr>
          <w:p>
            <w:r>
              <w:rPr>
                <w:b/>
                <w:bCs/>
                <w:i/>
                <w:iCs/>
                <w:color w:val="8A6D3B"/>
                <w:sz w:val="19"/>
                <w:szCs w:val="19"/>
              </w:rPr>
              <w:t xml:space="preserve">[____]</w:t>
            </w:r>
          </w:p>
        </w:tc>
        <w:tc>
          <w:tcPr>
            <w:tcW w:type="dxa" w:w="1600"/>
            <w:shd w:fill="FFFFFF" w:val="clear"/>
            <w:tcMar>
              <w:top w:type="dxa" w:w="90"/>
              <w:left w:type="dxa" w:w="120"/>
              <w:bottom w:type="dxa" w:w="90"/>
              <w:right w:type="dxa" w:w="120"/>
            </w:tcMar>
            <w:vAlign w:val="center"/>
          </w:tcPr>
          <w:p>
            <w:r>
              <w:rPr>
                <w:b w:val="false"/>
                <w:bCs w:val="false"/>
                <w:i w:val="false"/>
                <w:iCs w:val="false"/>
                <w:color w:val="1F2937"/>
                <w:sz w:val="19"/>
                <w:szCs w:val="19"/>
              </w:rPr>
              <w:t xml:space="preserve">Phase 4</w:t>
            </w:r>
          </w:p>
        </w:tc>
      </w:tr>
    </w:tbl>
    <w:p>
      <w:pPr>
        <w:spacing w:after="160" w:line="276"/>
      </w:pPr>
      <w:r>
        <w:rPr>
          <w:i/>
          <w:iCs/>
          <w:color w:val="1F2937"/>
          <w:sz w:val="22"/>
          <w:szCs w:val="22"/>
        </w:rPr>
        <w:t xml:space="preserve">This enhancement will position the property more competitively within the extended-stay and serviced apartment market by providing guests with greater convenience and flexibility during longer stays.</w:t>
      </w:r>
    </w:p>
    <w:p>
      <w:pPr>
        <w:pStyle w:val="Heading1"/>
        <w:pBdr>
          <w:bottom w:val="single" w:color="8A6D3B" w:sz="6" w:space="4"/>
        </w:pBdr>
        <w:spacing w:after="200" w:before="420"/>
      </w:pPr>
      <w:r>
        <w:rPr>
          <w:b/>
          <w:bCs/>
          <w:color w:val="1F2937"/>
          <w:sz w:val="30"/>
          <w:szCs w:val="30"/>
        </w:rPr>
        <w:t xml:space="preserve">6. Maintenance &amp; Preventive Asset Care</w:t>
      </w:r>
    </w:p>
    <w:p>
      <w:pPr>
        <w:spacing w:after="160" w:line="276"/>
      </w:pPr>
      <w:r>
        <w:rPr>
          <w:i w:val="false"/>
          <w:iCs w:val="false"/>
          <w:color w:val="1F2937"/>
          <w:sz w:val="22"/>
          <w:szCs w:val="22"/>
        </w:rPr>
        <w:t xml:space="preserve">Protecting the long-term value of the asset requires a proactive maintenance strategy. REOM Homes recommends:</w:t>
      </w:r>
    </w:p>
    <w:p>
      <w:pPr>
        <w:pStyle w:val="ListParagraph"/>
        <w:numPr>
          <w:ilvl w:val="0"/>
          <w:numId w:val="2"/>
        </w:numPr>
        <w:spacing w:after="80"/>
      </w:pPr>
      <w:r>
        <w:rPr>
          <w:color w:val="1F2937"/>
          <w:sz w:val="22"/>
          <w:szCs w:val="22"/>
        </w:rPr>
        <w:t xml:space="preserve">Two dedicated maintenance technicians available on a 24/7 basis</w:t>
      </w:r>
    </w:p>
    <w:p>
      <w:pPr>
        <w:pStyle w:val="ListParagraph"/>
        <w:numPr>
          <w:ilvl w:val="0"/>
          <w:numId w:val="2"/>
        </w:numPr>
        <w:spacing w:after="80"/>
      </w:pPr>
      <w:r>
        <w:rPr>
          <w:color w:val="1F2937"/>
          <w:sz w:val="22"/>
          <w:szCs w:val="22"/>
        </w:rPr>
        <w:t xml:space="preserve">Preventive maintenance scheduling</w:t>
      </w:r>
    </w:p>
    <w:p>
      <w:pPr>
        <w:pStyle w:val="ListParagraph"/>
        <w:numPr>
          <w:ilvl w:val="0"/>
          <w:numId w:val="2"/>
        </w:numPr>
        <w:spacing w:after="80"/>
      </w:pPr>
      <w:r>
        <w:rPr>
          <w:color w:val="1F2937"/>
          <w:sz w:val="22"/>
          <w:szCs w:val="22"/>
        </w:rPr>
        <w:t xml:space="preserve">Rapid response to maintenance requests</w:t>
      </w:r>
    </w:p>
    <w:p>
      <w:pPr>
        <w:pStyle w:val="ListParagraph"/>
        <w:numPr>
          <w:ilvl w:val="0"/>
          <w:numId w:val="2"/>
        </w:numPr>
        <w:spacing w:after="80"/>
      </w:pPr>
      <w:r>
        <w:rPr>
          <w:color w:val="1F2937"/>
          <w:sz w:val="22"/>
          <w:szCs w:val="22"/>
        </w:rPr>
        <w:t xml:space="preserve">Continuous monitoring of building systems and infrastructure</w:t>
      </w:r>
    </w:p>
    <w:p>
      <w:pPr>
        <w:spacing w:after="160" w:line="276"/>
      </w:pPr>
      <w:r>
        <w:rPr>
          <w:i w:val="false"/>
          <w:iCs w:val="false"/>
          <w:color w:val="1F2937"/>
          <w:sz w:val="22"/>
          <w:szCs w:val="22"/>
        </w:rPr>
        <w:t xml:space="preserve">Additionally, external facade and window cleaning should be conducted on a quarterly basis to preserve the property's appearance and maintain the highest presentation standards.</w:t>
      </w:r>
    </w:p>
    <w:p>
      <w:pPr>
        <w:pStyle w:val="Heading1"/>
        <w:pBdr>
          <w:bottom w:val="single" w:color="8A6D3B" w:sz="6" w:space="4"/>
        </w:pBdr>
        <w:spacing w:after="200" w:before="420"/>
      </w:pPr>
      <w:r>
        <w:rPr>
          <w:b/>
          <w:bCs/>
          <w:color w:val="1F2937"/>
          <w:sz w:val="30"/>
          <w:szCs w:val="30"/>
        </w:rPr>
        <w:t xml:space="preserve">7. Health, Safety &amp; Security Standards</w:t>
      </w:r>
    </w:p>
    <w:p>
      <w:pPr>
        <w:spacing w:after="160" w:line="276"/>
      </w:pPr>
      <w:r>
        <w:rPr>
          <w:i w:val="false"/>
          <w:iCs w:val="false"/>
          <w:color w:val="1F2937"/>
          <w:sz w:val="22"/>
          <w:szCs w:val="22"/>
        </w:rPr>
        <w:t xml:space="preserve">Maintaining high standards of cleanliness, safety, and security is essential to operational success and guest satisfaction.</w:t>
      </w:r>
    </w:p>
    <w:p>
      <w:pPr>
        <w:pStyle w:val="Heading2"/>
        <w:spacing w:after="140" w:before="280"/>
      </w:pPr>
      <w:r>
        <w:rPr>
          <w:b/>
          <w:bCs/>
          <w:color w:val="8A6D3B"/>
          <w:sz w:val="24"/>
          <w:szCs w:val="24"/>
        </w:rPr>
        <w:t xml:space="preserve">Pest Management Program</w:t>
      </w:r>
    </w:p>
    <w:p>
      <w:pPr>
        <w:spacing w:after="160" w:line="276"/>
      </w:pPr>
      <w:r>
        <w:rPr>
          <w:i w:val="false"/>
          <w:iCs w:val="false"/>
          <w:color w:val="1F2937"/>
          <w:sz w:val="22"/>
          <w:szCs w:val="22"/>
        </w:rPr>
        <w:t xml:space="preserve">An immediate pest management campaign is recommended to address issues identified during the property walkthrough within guest rooms and common areas. The proposed program includes:</w:t>
      </w:r>
    </w:p>
    <w:p>
      <w:pPr>
        <w:pStyle w:val="ListParagraph"/>
        <w:numPr>
          <w:ilvl w:val="0"/>
          <w:numId w:val="2"/>
        </w:numPr>
        <w:spacing w:after="80"/>
      </w:pPr>
      <w:r>
        <w:rPr>
          <w:color w:val="1F2937"/>
          <w:sz w:val="22"/>
          <w:szCs w:val="22"/>
        </w:rPr>
        <w:t xml:space="preserve">Monthly treatments during the initial eradication phase</w:t>
      </w:r>
    </w:p>
    <w:p>
      <w:pPr>
        <w:pStyle w:val="ListParagraph"/>
        <w:numPr>
          <w:ilvl w:val="0"/>
          <w:numId w:val="2"/>
        </w:numPr>
        <w:spacing w:after="80"/>
      </w:pPr>
      <w:r>
        <w:rPr>
          <w:color w:val="1F2937"/>
          <w:sz w:val="22"/>
          <w:szCs w:val="22"/>
        </w:rPr>
        <w:t xml:space="preserve">Transition to quarterly or semi-annual preventative treatments thereafter</w:t>
      </w:r>
    </w:p>
    <w:p>
      <w:pPr>
        <w:pStyle w:val="Heading2"/>
        <w:spacing w:after="140" w:before="280"/>
      </w:pPr>
      <w:r>
        <w:rPr>
          <w:b/>
          <w:bCs/>
          <w:color w:val="8A6D3B"/>
          <w:sz w:val="24"/>
          <w:szCs w:val="24"/>
        </w:rPr>
        <w:t xml:space="preserve">Security &amp; Surveillance</w:t>
      </w:r>
    </w:p>
    <w:p>
      <w:pPr>
        <w:spacing w:after="160" w:line="276"/>
      </w:pPr>
      <w:r>
        <w:rPr>
          <w:i w:val="false"/>
          <w:iCs w:val="false"/>
          <w:color w:val="1F2937"/>
          <w:sz w:val="22"/>
          <w:szCs w:val="22"/>
        </w:rPr>
        <w:t xml:space="preserve">All CCTV systems should be fully operational, regularly maintained, monitored, and accessible for management review to ensure comprehensive security coverage throughout the property.</w:t>
      </w:r>
    </w:p>
    <w:p>
      <w:pPr>
        <w:pStyle w:val="Heading2"/>
        <w:spacing w:after="140" w:before="280"/>
      </w:pPr>
      <w:r>
        <w:rPr>
          <w:b/>
          <w:bCs/>
          <w:color w:val="8A6D3B"/>
          <w:sz w:val="24"/>
          <w:szCs w:val="24"/>
        </w:rPr>
        <w:t xml:space="preserve">Guest Environment Enhancement</w:t>
      </w:r>
    </w:p>
    <w:p>
      <w:pPr>
        <w:spacing w:after="160" w:line="276"/>
      </w:pPr>
      <w:r>
        <w:rPr>
          <w:i w:val="false"/>
          <w:iCs w:val="false"/>
          <w:color w:val="1F2937"/>
          <w:sz w:val="22"/>
          <w:szCs w:val="22"/>
        </w:rPr>
        <w:t xml:space="preserve">To further improve the guest experience and reinforce a premium atmosphere, scent diffusion systems should be installed throughout the lobby, hallways, and common areas to maintain a consistently fresh and welcoming environment.</w:t>
      </w:r>
    </w:p>
    <w:p>
      <w:pPr>
        <w:pStyle w:val="Heading1"/>
        <w:pBdr>
          <w:bottom w:val="single" w:color="8A6D3B" w:sz="6" w:space="4"/>
        </w:pBdr>
        <w:spacing w:after="200" w:before="420"/>
      </w:pPr>
      <w:r>
        <w:rPr>
          <w:b/>
          <w:bCs/>
          <w:color w:val="1F2937"/>
          <w:sz w:val="30"/>
          <w:szCs w:val="30"/>
        </w:rPr>
        <w:t xml:space="preserve">8. Communication &amp; Operational Infrastructure</w:t>
      </w:r>
    </w:p>
    <w:p>
      <w:pPr>
        <w:spacing w:after="160" w:line="276"/>
      </w:pPr>
      <w:r>
        <w:rPr>
          <w:i w:val="false"/>
          <w:iCs w:val="false"/>
          <w:color w:val="1F2937"/>
          <w:sz w:val="22"/>
          <w:szCs w:val="22"/>
        </w:rPr>
        <w:t xml:space="preserve">To support efficient operations and professional guest services, the following infrastructure enhancements are recommended:</w:t>
      </w:r>
    </w:p>
    <w:p>
      <w:pPr>
        <w:pStyle w:val="ListParagraph"/>
        <w:numPr>
          <w:ilvl w:val="0"/>
          <w:numId w:val="2"/>
        </w:numPr>
        <w:spacing w:after="80"/>
      </w:pPr>
      <w:r>
        <w:rPr>
          <w:color w:val="1F2937"/>
          <w:sz w:val="22"/>
          <w:szCs w:val="22"/>
        </w:rPr>
        <w:t xml:space="preserve">Dedicated company website</w:t>
      </w:r>
    </w:p>
    <w:p>
      <w:pPr>
        <w:pStyle w:val="ListParagraph"/>
        <w:numPr>
          <w:ilvl w:val="0"/>
          <w:numId w:val="2"/>
        </w:numPr>
        <w:spacing w:after="80"/>
      </w:pPr>
      <w:r>
        <w:rPr>
          <w:color w:val="1F2937"/>
          <w:sz w:val="22"/>
          <w:szCs w:val="22"/>
        </w:rPr>
        <w:t xml:space="preserve">Professional email systems</w:t>
      </w:r>
    </w:p>
    <w:p>
      <w:pPr>
        <w:pStyle w:val="ListParagraph"/>
        <w:numPr>
          <w:ilvl w:val="0"/>
          <w:numId w:val="2"/>
        </w:numPr>
        <w:spacing w:after="80"/>
      </w:pPr>
      <w:r>
        <w:rPr>
          <w:color w:val="1F2937"/>
          <w:sz w:val="22"/>
          <w:szCs w:val="22"/>
        </w:rPr>
        <w:t xml:space="preserve">Reception landline services</w:t>
      </w:r>
    </w:p>
    <w:p>
      <w:pPr>
        <w:pStyle w:val="ListParagraph"/>
        <w:numPr>
          <w:ilvl w:val="0"/>
          <w:numId w:val="2"/>
        </w:numPr>
        <w:spacing w:after="80"/>
      </w:pPr>
      <w:r>
        <w:rPr>
          <w:color w:val="1F2937"/>
          <w:sz w:val="22"/>
          <w:szCs w:val="22"/>
        </w:rPr>
        <w:t xml:space="preserve">Centralized communication channels</w:t>
      </w:r>
    </w:p>
    <w:p>
      <w:pPr>
        <w:pStyle w:val="ListParagraph"/>
        <w:numPr>
          <w:ilvl w:val="0"/>
          <w:numId w:val="2"/>
        </w:numPr>
        <w:spacing w:after="80"/>
      </w:pPr>
      <w:r>
        <w:rPr>
          <w:color w:val="1F2937"/>
          <w:sz w:val="22"/>
          <w:szCs w:val="22"/>
        </w:rPr>
        <w:t xml:space="preserve">Reservation and guest inquiry management systems</w:t>
      </w:r>
    </w:p>
    <w:p>
      <w:pPr>
        <w:spacing w:after="160" w:line="276"/>
      </w:pPr>
      <w:r>
        <w:rPr>
          <w:i w:val="false"/>
          <w:iCs w:val="false"/>
          <w:color w:val="1F2937"/>
          <w:sz w:val="22"/>
          <w:szCs w:val="22"/>
        </w:rPr>
        <w:t xml:space="preserve">These measures will strengthen operational efficiency, improve guest communication, and enhance overall brand credibility.</w:t>
      </w:r>
    </w:p>
    <w:p>
      <w:pPr>
        <w:pStyle w:val="Heading1"/>
        <w:pBdr>
          <w:bottom w:val="single" w:color="8A6D3B" w:sz="6" w:space="4"/>
        </w:pBdr>
        <w:spacing w:after="200" w:before="420"/>
      </w:pPr>
      <w:r>
        <w:rPr>
          <w:b/>
          <w:bCs/>
          <w:color w:val="1F2937"/>
          <w:sz w:val="30"/>
          <w:szCs w:val="30"/>
        </w:rPr>
        <w:t xml:space="preserve">9. Online Reputation Management</w:t>
      </w:r>
    </w:p>
    <w:p>
      <w:pPr>
        <w:spacing w:after="160" w:line="276"/>
      </w:pPr>
      <w:r>
        <w:rPr>
          <w:i w:val="false"/>
          <w:iCs w:val="false"/>
          <w:color w:val="1F2937"/>
          <w:sz w:val="22"/>
          <w:szCs w:val="22"/>
        </w:rPr>
        <w:t xml:space="preserve">As part of the property's repositioning strategy, REOM Homes will conduct a comprehensive review of existing guest feedback and online reviews across major booking and review platforms.</w:t>
      </w:r>
    </w:p>
    <w:p>
      <w:pPr>
        <w:spacing w:after="160" w:line="276"/>
      </w:pPr>
      <w:r>
        <w:rPr>
          <w:i w:val="false"/>
          <w:iCs w:val="false"/>
          <w:color w:val="1F2937"/>
          <w:sz w:val="22"/>
          <w:szCs w:val="22"/>
        </w:rPr>
        <w:t xml:space="preserve">Special attention will be given to guests who have shared negative experiences regarding Blumont Capital Tower. Where possible, the team will proactively engage with these guests, address their concerns, communicate the improvements being implemented, and work to rebuild confidence in the property. This initiative aims to:</w:t>
      </w:r>
    </w:p>
    <w:p>
      <w:pPr>
        <w:pStyle w:val="ListParagraph"/>
        <w:numPr>
          <w:ilvl w:val="0"/>
          <w:numId w:val="2"/>
        </w:numPr>
        <w:spacing w:after="80"/>
      </w:pPr>
      <w:r>
        <w:rPr>
          <w:color w:val="1F2937"/>
          <w:sz w:val="22"/>
          <w:szCs w:val="22"/>
        </w:rPr>
        <w:t xml:space="preserve">Improve the property's online reputation and public image</w:t>
      </w:r>
    </w:p>
    <w:p>
      <w:pPr>
        <w:pStyle w:val="ListParagraph"/>
        <w:numPr>
          <w:ilvl w:val="0"/>
          <w:numId w:val="2"/>
        </w:numPr>
        <w:spacing w:after="80"/>
      </w:pPr>
      <w:r>
        <w:rPr>
          <w:color w:val="1F2937"/>
          <w:sz w:val="22"/>
          <w:szCs w:val="22"/>
        </w:rPr>
        <w:t xml:space="preserve">Increase guest confidence and booking conversions</w:t>
      </w:r>
    </w:p>
    <w:p>
      <w:pPr>
        <w:pStyle w:val="ListParagraph"/>
        <w:numPr>
          <w:ilvl w:val="0"/>
          <w:numId w:val="2"/>
        </w:numPr>
        <w:spacing w:after="80"/>
      </w:pPr>
      <w:r>
        <w:rPr>
          <w:color w:val="1F2937"/>
          <w:sz w:val="22"/>
          <w:szCs w:val="22"/>
        </w:rPr>
        <w:t xml:space="preserve">Enhance ratings across major booking platforms</w:t>
      </w:r>
    </w:p>
    <w:p>
      <w:pPr>
        <w:pStyle w:val="ListParagraph"/>
        <w:numPr>
          <w:ilvl w:val="0"/>
          <w:numId w:val="2"/>
        </w:numPr>
        <w:spacing w:after="80"/>
      </w:pPr>
      <w:r>
        <w:rPr>
          <w:color w:val="1F2937"/>
          <w:sz w:val="22"/>
          <w:szCs w:val="22"/>
        </w:rPr>
        <w:t xml:space="preserve">Strengthen the property's market presence and credibility</w:t>
      </w:r>
    </w:p>
    <w:p>
      <w:pPr>
        <w:spacing w:after="160" w:line="276"/>
      </w:pPr>
      <w:r>
        <w:rPr>
          <w:i w:val="false"/>
          <w:iCs w:val="false"/>
          <w:color w:val="1F2937"/>
          <w:sz w:val="22"/>
          <w:szCs w:val="22"/>
        </w:rPr>
        <w:t xml:space="preserve">REOM Homes will implement ongoing review management procedures to ensure guest feedback is addressed promptly and that the property's online reputation accurately reflects the quality of service being delivered.</w:t>
      </w:r>
    </w:p>
    <w:p>
      <w:pPr>
        <w:pStyle w:val="Heading1"/>
        <w:pBdr>
          <w:bottom w:val="single" w:color="8A6D3B" w:sz="6" w:space="4"/>
        </w:pBdr>
        <w:spacing w:after="200" w:before="420"/>
      </w:pPr>
      <w:r>
        <w:rPr>
          <w:b/>
          <w:bCs/>
          <w:color w:val="1F2937"/>
          <w:sz w:val="30"/>
          <w:szCs w:val="30"/>
        </w:rPr>
        <w:t xml:space="preserve">10. Management Fees &amp; Commercial Terms</w:t>
      </w:r>
    </w:p>
    <w:p>
      <w:pPr>
        <w:spacing w:after="160" w:line="276"/>
      </w:pPr>
      <w:r>
        <w:rPr>
          <w:i w:val="false"/>
          <w:iCs w:val="false"/>
          <w:color w:val="1F2937"/>
          <w:sz w:val="22"/>
          <w:szCs w:val="22"/>
        </w:rPr>
        <w:t xml:space="preserve">In consideration of the comprehensive property management, operational oversight, revenue management, marketing, leasing, and asset enhancement services to be provided by REOM Homes Real Estate L.L.C., the following management fee structure is proposed: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2500"/>
        <w:gridCol w:w="7000"/>
      </w:tblGrid>
      <w:tr>
        <w:trPr>
          <w:tblHeader/>
        </w:trPr>
        <w:tc>
          <w:tcPr>
            <w:tcW w:type="dxa" w:w="2500"/>
            <w:shd w:fill="1F2937" w:val="clear"/>
            <w:tcMar>
              <w:top w:type="dxa" w:w="100"/>
              <w:left w:type="dxa" w:w="150"/>
              <w:bottom w:type="dxa" w:w="100"/>
              <w:right w:type="dxa" w:w="150"/>
            </w:tcMar>
            <w:vAlign w:val="center"/>
          </w:tcPr>
          <w:p>
            <w:r>
              <w:rPr>
                <w:b/>
                <w:bCs/>
                <w:color w:val="FFFFFF"/>
                <w:sz w:val="20"/>
                <w:szCs w:val="20"/>
              </w:rPr>
              <w:t xml:space="preserve">Term</w:t>
            </w:r>
          </w:p>
        </w:tc>
        <w:tc>
          <w:tcPr>
            <w:tcW w:type="dxa" w:w="2500"/>
            <w:shd w:fill="1F2937" w:val="clear"/>
            <w:tcMar>
              <w:top w:type="dxa" w:w="100"/>
              <w:left w:type="dxa" w:w="150"/>
              <w:bottom w:type="dxa" w:w="100"/>
              <w:right w:type="dxa" w:w="150"/>
            </w:tcMar>
            <w:vAlign w:val="center"/>
          </w:tcPr>
          <w:p>
            <w:r>
              <w:rPr>
                <w:b/>
                <w:bCs/>
                <w:color w:val="FFFFFF"/>
                <w:sz w:val="20"/>
                <w:szCs w:val="20"/>
              </w:rPr>
              <w:t xml:space="preserve">Detail</w:t>
            </w:r>
          </w:p>
        </w:tc>
      </w:tr>
      <w:tr>
        <w:tc>
          <w:tcPr>
            <w:tcW w:type="dxa" w:w="2500"/>
            <w:shd w:fill="FFFFFF" w:val="clear"/>
            <w:tcMar>
              <w:top w:type="dxa" w:w="100"/>
              <w:left w:type="dxa" w:w="150"/>
              <w:bottom w:type="dxa" w:w="100"/>
              <w:right w:type="dxa" w:w="150"/>
            </w:tcMar>
            <w:vAlign w:val="center"/>
          </w:tcPr>
          <w:p>
            <w:r>
              <w:rPr>
                <w:b/>
                <w:bCs/>
                <w:color w:val="1F2937"/>
                <w:sz w:val="20"/>
                <w:szCs w:val="20"/>
              </w:rPr>
              <w:t xml:space="preserve">Base Management Fee</w:t>
            </w:r>
          </w:p>
        </w:tc>
        <w:tc>
          <w:tcPr>
            <w:tcW w:type="dxa" w:w="7000"/>
            <w:shd w:fill="FFFFFF" w:val="clear"/>
            <w:tcMar>
              <w:top w:type="dxa" w:w="100"/>
              <w:left w:type="dxa" w:w="150"/>
              <w:bottom w:type="dxa" w:w="100"/>
              <w:right w:type="dxa" w:w="150"/>
            </w:tcMar>
            <w:vAlign w:val="center"/>
          </w:tcPr>
          <w:p>
            <w:pPr>
              <w:spacing w:after="60"/>
            </w:pPr>
            <w:r>
              <w:rPr>
                <w:b w:val="false"/>
                <w:bCs w:val="false"/>
                <w:i w:val="false"/>
                <w:iCs w:val="false"/>
                <w:color w:val="1F2937"/>
                <w:sz w:val="20"/>
                <w:szCs w:val="20"/>
              </w:rPr>
              <w:t xml:space="preserve">10% of Gross Revenue, payable monthly.</w:t>
            </w:r>
          </w:p>
          <w:p>
            <w:pPr>
              <w:spacing w:after="60"/>
            </w:pPr>
            <w:r>
              <w:rPr>
                <w:b/>
                <w:bCs/>
                <w:i/>
                <w:iCs/>
                <w:color w:val="8A6D3B"/>
                <w:sz w:val="20"/>
                <w:szCs w:val="20"/>
              </w:rPr>
              <w:t xml:space="preserve">Gross Revenue is defined as all room/unit rental income collected during the applicable month, including revenue from commercial and retail leasing once activated. Ancillary income (e.g. F&amp;B, parking, event space) is [included / excluded — to confirm].</w:t>
            </w:r>
          </w:p>
          <w:p>
            <w:pPr>
              <w:spacing w:after="0"/>
            </w:pPr>
            <w:r>
              <w:rPr>
                <w:b w:val="false"/>
                <w:bCs w:val="false"/>
                <w:i w:val="false"/>
                <w:iCs w:val="false"/>
                <w:color w:val="1F2937"/>
                <w:sz w:val="20"/>
                <w:szCs w:val="20"/>
              </w:rPr>
              <w:t xml:space="preserve">Covers day-to-day management, operational oversight, revenue management, marketing coordination, leasing supervision, guest experience management, and strategic support services.</w:t>
            </w:r>
          </w:p>
        </w:tc>
      </w:tr>
      <w:tr>
        <w:tc>
          <w:tcPr>
            <w:tcW w:type="dxa" w:w="2500"/>
            <w:shd w:fill="F3F4F6" w:val="clear"/>
            <w:tcMar>
              <w:top w:type="dxa" w:w="100"/>
              <w:left w:type="dxa" w:w="150"/>
              <w:bottom w:type="dxa" w:w="100"/>
              <w:right w:type="dxa" w:w="150"/>
            </w:tcMar>
            <w:vAlign w:val="center"/>
          </w:tcPr>
          <w:p>
            <w:r>
              <w:rPr>
                <w:b/>
                <w:bCs/>
                <w:color w:val="1F2937"/>
                <w:sz w:val="20"/>
                <w:szCs w:val="20"/>
              </w:rPr>
              <w:t xml:space="preserve">Incentive Management Fee</w:t>
            </w:r>
          </w:p>
        </w:tc>
        <w:tc>
          <w:tcPr>
            <w:tcW w:type="dxa" w:w="7000"/>
            <w:shd w:fill="F3F4F6" w:val="clear"/>
            <w:tcMar>
              <w:top w:type="dxa" w:w="100"/>
              <w:left w:type="dxa" w:w="150"/>
              <w:bottom w:type="dxa" w:w="100"/>
              <w:right w:type="dxa" w:w="150"/>
            </w:tcMar>
            <w:vAlign w:val="center"/>
          </w:tcPr>
          <w:p>
            <w:pPr>
              <w:spacing w:after="60"/>
            </w:pPr>
            <w:r>
              <w:rPr>
                <w:b w:val="false"/>
                <w:bCs w:val="false"/>
                <w:i w:val="false"/>
                <w:iCs w:val="false"/>
                <w:color w:val="1F2937"/>
                <w:sz w:val="20"/>
                <w:szCs w:val="20"/>
              </w:rPr>
              <w:t xml:space="preserve">6% of Gross Operating Profit (GOP), payable semi-annually.</w:t>
            </w:r>
          </w:p>
          <w:p>
            <w:pPr>
              <w:spacing w:after="0"/>
            </w:pPr>
            <w:r>
              <w:rPr>
                <w:b/>
                <w:bCs/>
                <w:i/>
                <w:iCs/>
                <w:color w:val="8A6D3B"/>
                <w:sz w:val="20"/>
                <w:szCs w:val="20"/>
              </w:rPr>
              <w:t xml:space="preserve">GOP is defined as Gross Revenue less direct operating expenses (payroll, utilities, maintenance, marketing, and facilities management costs), before capital expenditure, financing costs, and ownership-level costs. Figures are prepared by REOM Homes and shared with ownership, subject to ownership's right to request an independent review.</w:t>
            </w:r>
          </w:p>
        </w:tc>
      </w:tr>
      <w:tr>
        <w:tc>
          <w:tcPr>
            <w:tcW w:type="dxa" w:w="2500"/>
            <w:shd w:fill="FFFFFF" w:val="clear"/>
            <w:tcMar>
              <w:top w:type="dxa" w:w="100"/>
              <w:left w:type="dxa" w:w="150"/>
              <w:bottom w:type="dxa" w:w="100"/>
              <w:right w:type="dxa" w:w="150"/>
            </w:tcMar>
            <w:vAlign w:val="center"/>
          </w:tcPr>
          <w:p>
            <w:r>
              <w:rPr>
                <w:b/>
                <w:bCs/>
                <w:color w:val="1F2937"/>
                <w:sz w:val="20"/>
                <w:szCs w:val="20"/>
              </w:rPr>
              <w:t xml:space="preserve">Contract Term</w:t>
            </w:r>
          </w:p>
        </w:tc>
        <w:tc>
          <w:tcPr>
            <w:tcW w:type="dxa" w:w="7000"/>
            <w:shd w:fill="FFFFFF" w:val="clear"/>
            <w:tcMar>
              <w:top w:type="dxa" w:w="100"/>
              <w:left w:type="dxa" w:w="150"/>
              <w:bottom w:type="dxa" w:w="100"/>
              <w:right w:type="dxa" w:w="150"/>
            </w:tcMar>
            <w:vAlign w:val="center"/>
          </w:tcPr>
          <w:p>
            <w:pPr>
              <w:spacing w:after="0"/>
            </w:pPr>
            <w:r>
              <w:rPr>
                <w:b/>
                <w:bCs/>
                <w:i/>
                <w:iCs/>
                <w:color w:val="8A6D3B"/>
                <w:sz w:val="20"/>
                <w:szCs w:val="20"/>
              </w:rPr>
              <w:t xml:space="preserve">Initial term of [__] years, with automatic renewal for successive [__]-year periods unless either party provides [__] days' written notice.</w:t>
            </w:r>
          </w:p>
        </w:tc>
      </w:tr>
      <w:tr>
        <w:tc>
          <w:tcPr>
            <w:tcW w:type="dxa" w:w="2500"/>
            <w:shd w:fill="F3F4F6" w:val="clear"/>
            <w:tcMar>
              <w:top w:type="dxa" w:w="100"/>
              <w:left w:type="dxa" w:w="150"/>
              <w:bottom w:type="dxa" w:w="100"/>
              <w:right w:type="dxa" w:w="150"/>
            </w:tcMar>
            <w:vAlign w:val="center"/>
          </w:tcPr>
          <w:p>
            <w:r>
              <w:rPr>
                <w:b/>
                <w:bCs/>
                <w:color w:val="1F2937"/>
                <w:sz w:val="20"/>
                <w:szCs w:val="20"/>
              </w:rPr>
              <w:t xml:space="preserve">Termination</w:t>
            </w:r>
          </w:p>
        </w:tc>
        <w:tc>
          <w:tcPr>
            <w:tcW w:type="dxa" w:w="7000"/>
            <w:shd w:fill="F3F4F6" w:val="clear"/>
            <w:tcMar>
              <w:top w:type="dxa" w:w="100"/>
              <w:left w:type="dxa" w:w="150"/>
              <w:bottom w:type="dxa" w:w="100"/>
              <w:right w:type="dxa" w:w="150"/>
            </w:tcMar>
            <w:vAlign w:val="center"/>
          </w:tcPr>
          <w:p>
            <w:pPr>
              <w:spacing w:after="0"/>
            </w:pPr>
            <w:r>
              <w:rPr>
                <w:b/>
                <w:bCs/>
                <w:i/>
                <w:iCs/>
                <w:color w:val="8A6D3B"/>
                <w:sz w:val="20"/>
                <w:szCs w:val="20"/>
              </w:rPr>
              <w:t xml:space="preserve">Either party may terminate for material breach with [__] days' written notice to cure. Termination for convenience requires [__] days' written notice.</w:t>
            </w:r>
          </w:p>
        </w:tc>
      </w:tr>
      <w:tr>
        <w:tc>
          <w:tcPr>
            <w:tcW w:type="dxa" w:w="2500"/>
            <w:shd w:fill="FFFFFF" w:val="clear"/>
            <w:tcMar>
              <w:top w:type="dxa" w:w="100"/>
              <w:left w:type="dxa" w:w="150"/>
              <w:bottom w:type="dxa" w:w="100"/>
              <w:right w:type="dxa" w:w="150"/>
            </w:tcMar>
            <w:vAlign w:val="center"/>
          </w:tcPr>
          <w:p>
            <w:r>
              <w:rPr>
                <w:b/>
                <w:bCs/>
                <w:color w:val="1F2937"/>
                <w:sz w:val="20"/>
                <w:szCs w:val="20"/>
              </w:rPr>
              <w:t xml:space="preserve">Fee Review</w:t>
            </w:r>
          </w:p>
        </w:tc>
        <w:tc>
          <w:tcPr>
            <w:tcW w:type="dxa" w:w="7000"/>
            <w:shd w:fill="FFFFFF" w:val="clear"/>
            <w:tcMar>
              <w:top w:type="dxa" w:w="100"/>
              <w:left w:type="dxa" w:w="150"/>
              <w:bottom w:type="dxa" w:w="100"/>
              <w:right w:type="dxa" w:w="150"/>
            </w:tcMar>
            <w:vAlign w:val="center"/>
          </w:tcPr>
          <w:p>
            <w:pPr>
              <w:spacing w:after="0"/>
            </w:pPr>
            <w:r>
              <w:rPr>
                <w:b/>
                <w:bCs/>
                <w:i/>
                <w:iCs/>
                <w:color w:val="8A6D3B"/>
                <w:sz w:val="20"/>
                <w:szCs w:val="20"/>
              </w:rPr>
              <w:t xml:space="preserve">Fee structure to be reviewed at the end of Year 1 based on actual occupancy and GOP performance against the targets set out in Section 1.</w:t>
            </w:r>
          </w:p>
        </w:tc>
      </w:tr>
    </w:tbl>
    <w:p>
      <w:pPr>
        <w:spacing w:after="160" w:line="276"/>
      </w:pPr>
      <w:r>
        <w:rPr>
          <w:i w:val="false"/>
          <w:iCs w:val="false"/>
          <w:color w:val="1F2937"/>
          <w:sz w:val="22"/>
          <w:szCs w:val="22"/>
        </w:rPr>
        <w:t xml:space="preserve">This performance-based structure ensures that REOM Homes remains fully committed to maximizing profitability, controlling operational costs, increasing occupancy levels, enhancing guest satisfaction, and driving long-term value creation for ownership. It reflects a partnership-oriented approach whereby REOM Homes' success is directly linked to the financial success and operational performance of Blumont Capital Tower.</w:t>
      </w:r>
    </w:p>
    <w:p>
      <w:pPr>
        <w:pStyle w:val="Heading1"/>
        <w:pBdr>
          <w:bottom w:val="single" w:color="8A6D3B" w:sz="6" w:space="4"/>
        </w:pBdr>
        <w:spacing w:after="200" w:before="420"/>
      </w:pPr>
      <w:r>
        <w:rPr>
          <w:b/>
          <w:bCs/>
          <w:color w:val="1F2937"/>
          <w:sz w:val="30"/>
          <w:szCs w:val="30"/>
        </w:rPr>
        <w:t xml:space="preserve">11. Implementation Timeline</w:t>
      </w:r>
    </w:p>
    <w:p>
      <w:pPr>
        <w:spacing w:after="160" w:line="276"/>
      </w:pPr>
      <w:r>
        <w:rPr>
          <w:i w:val="false"/>
          <w:iCs w:val="false"/>
          <w:color w:val="1F2937"/>
          <w:sz w:val="22"/>
          <w:szCs w:val="22"/>
        </w:rPr>
        <w:t xml:space="preserve">The initiatives outlined above will be delivered in four phases, sequenced to prioritize revenue stabilization before capital investment: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7100"/>
      </w:tblGrid>
      <w:tr>
        <w:trPr>
          <w:tblHeader/>
        </w:trPr>
        <w:tc>
          <w:tcPr>
            <w:tcW w:type="dxa" w:w="2400"/>
            <w:shd w:fill="1F2937" w:val="clear"/>
            <w:tcMar>
              <w:top w:type="dxa" w:w="100"/>
              <w:left w:type="dxa" w:w="150"/>
              <w:bottom w:type="dxa" w:w="100"/>
              <w:right w:type="dxa" w:w="150"/>
            </w:tcMar>
            <w:vAlign w:val="center"/>
          </w:tcPr>
          <w:p>
            <w:r>
              <w:rPr>
                <w:b/>
                <w:bCs/>
                <w:color w:val="FFFFFF"/>
                <w:sz w:val="20"/>
                <w:szCs w:val="20"/>
              </w:rPr>
              <w:t xml:space="preserve">Phase</w:t>
            </w:r>
          </w:p>
        </w:tc>
        <w:tc>
          <w:tcPr>
            <w:tcW w:type="dxa" w:w="2400"/>
            <w:shd w:fill="1F2937" w:val="clear"/>
            <w:tcMar>
              <w:top w:type="dxa" w:w="100"/>
              <w:left w:type="dxa" w:w="150"/>
              <w:bottom w:type="dxa" w:w="100"/>
              <w:right w:type="dxa" w:w="150"/>
            </w:tcMar>
            <w:vAlign w:val="center"/>
          </w:tcPr>
          <w:p>
            <w:r>
              <w:rPr>
                <w:b/>
                <w:bCs/>
                <w:color w:val="FFFFFF"/>
                <w:sz w:val="20"/>
                <w:szCs w:val="20"/>
              </w:rPr>
              <w:t xml:space="preserve">Key Initiatives</w:t>
            </w:r>
          </w:p>
        </w:tc>
      </w:tr>
      <w:tr>
        <w:tc>
          <w:tcPr>
            <w:tcW w:type="dxa" w:w="2400"/>
            <w:shd w:fill="FFFFFF" w:val="clear"/>
            <w:tcMar>
              <w:top w:type="dxa" w:w="100"/>
              <w:left w:type="dxa" w:w="150"/>
              <w:bottom w:type="dxa" w:w="100"/>
              <w:right w:type="dxa" w:w="150"/>
            </w:tcMar>
            <w:vAlign w:val="center"/>
          </w:tcPr>
          <w:p>
            <w:r>
              <w:rPr>
                <w:b/>
                <w:bCs/>
                <w:color w:val="1F2937"/>
                <w:sz w:val="20"/>
                <w:szCs w:val="20"/>
              </w:rPr>
              <w:t xml:space="preserve">Phase 1
Months 1–2</w:t>
            </w:r>
          </w:p>
        </w:tc>
        <w:tc>
          <w:tcPr>
            <w:tcW w:type="dxa" w:w="7100"/>
            <w:shd w:fill="FFFFFF" w:val="clear"/>
            <w:tcMar>
              <w:top w:type="dxa" w:w="100"/>
              <w:left w:type="dxa" w:w="150"/>
              <w:bottom w:type="dxa" w:w="100"/>
              <w:right w:type="dxa" w:w="150"/>
            </w:tcMar>
            <w:vAlign w:val="center"/>
          </w:tcPr>
          <w:p>
            <w:pPr>
              <w:spacing w:after="0"/>
            </w:pPr>
            <w:r>
              <w:rPr>
                <w:b w:val="false"/>
                <w:bCs w:val="false"/>
                <w:i w:val="false"/>
                <w:iCs w:val="false"/>
                <w:color w:val="1F2937"/>
                <w:sz w:val="20"/>
                <w:szCs w:val="20"/>
              </w:rPr>
              <w:t xml:space="preserve">Management agreement execution; on-site team mobilization; CRS and dynamic pricing setup; OTA and local portal onboarding; pest management eradication phase; CCTV audit.</w:t>
            </w:r>
          </w:p>
        </w:tc>
      </w:tr>
      <w:tr>
        <w:tc>
          <w:tcPr>
            <w:tcW w:type="dxa" w:w="2400"/>
            <w:shd w:fill="F3F4F6" w:val="clear"/>
            <w:tcMar>
              <w:top w:type="dxa" w:w="100"/>
              <w:left w:type="dxa" w:w="150"/>
              <w:bottom w:type="dxa" w:w="100"/>
              <w:right w:type="dxa" w:w="150"/>
            </w:tcMar>
            <w:vAlign w:val="center"/>
          </w:tcPr>
          <w:p>
            <w:r>
              <w:rPr>
                <w:b/>
                <w:bCs/>
                <w:color w:val="1F2937"/>
                <w:sz w:val="20"/>
                <w:szCs w:val="20"/>
              </w:rPr>
              <w:t xml:space="preserve">Phase 2
Months 2–4</w:t>
            </w:r>
          </w:p>
        </w:tc>
        <w:tc>
          <w:tcPr>
            <w:tcW w:type="dxa" w:w="7100"/>
            <w:shd w:fill="F3F4F6" w:val="clear"/>
            <w:tcMar>
              <w:top w:type="dxa" w:w="100"/>
              <w:left w:type="dxa" w:w="150"/>
              <w:bottom w:type="dxa" w:w="100"/>
              <w:right w:type="dxa" w:w="150"/>
            </w:tcMar>
            <w:vAlign w:val="center"/>
          </w:tcPr>
          <w:p>
            <w:pPr>
              <w:spacing w:after="0"/>
            </w:pPr>
            <w:r>
              <w:rPr>
                <w:b w:val="false"/>
                <w:bCs w:val="false"/>
                <w:i w:val="false"/>
                <w:iCs w:val="false"/>
                <w:color w:val="1F2937"/>
                <w:sz w:val="20"/>
                <w:szCs w:val="20"/>
              </w:rPr>
              <w:t xml:space="preserve">Commercial space leasing campaign; lobby, reception, and lighting improvements; website, email, and communications infrastructure; online reputation review and guest outreach.</w:t>
            </w:r>
          </w:p>
        </w:tc>
      </w:tr>
      <w:tr>
        <w:tc>
          <w:tcPr>
            <w:tcW w:type="dxa" w:w="2400"/>
            <w:shd w:fill="FFFFFF" w:val="clear"/>
            <w:tcMar>
              <w:top w:type="dxa" w:w="100"/>
              <w:left w:type="dxa" w:w="150"/>
              <w:bottom w:type="dxa" w:w="100"/>
              <w:right w:type="dxa" w:w="150"/>
            </w:tcMar>
            <w:vAlign w:val="center"/>
          </w:tcPr>
          <w:p>
            <w:r>
              <w:rPr>
                <w:b/>
                <w:bCs/>
                <w:color w:val="1F2937"/>
                <w:sz w:val="20"/>
                <w:szCs w:val="20"/>
              </w:rPr>
              <w:t xml:space="preserve">Phase 3
Months 4–9</w:t>
            </w:r>
          </w:p>
        </w:tc>
        <w:tc>
          <w:tcPr>
            <w:tcW w:type="dxa" w:w="7100"/>
            <w:shd w:fill="FFFFFF" w:val="clear"/>
            <w:tcMar>
              <w:top w:type="dxa" w:w="100"/>
              <w:left w:type="dxa" w:w="150"/>
              <w:bottom w:type="dxa" w:w="100"/>
              <w:right w:type="dxa" w:w="150"/>
            </w:tcMar>
            <w:vAlign w:val="center"/>
          </w:tcPr>
          <w:p>
            <w:pPr>
              <w:spacing w:after="0"/>
            </w:pPr>
            <w:r>
              <w:rPr>
                <w:b w:val="false"/>
                <w:bCs w:val="false"/>
                <w:i w:val="false"/>
                <w:iCs w:val="false"/>
                <w:color w:val="1F2937"/>
                <w:sz w:val="20"/>
                <w:szCs w:val="20"/>
              </w:rPr>
              <w:t xml:space="preserve">Preventive maintenance program fully operational; quarterly facade/window cleaning begins; scent diffusion rollout; occupancy and ADR stabilization against Section 1 targets.</w:t>
            </w:r>
          </w:p>
        </w:tc>
      </w:tr>
      <w:tr>
        <w:tc>
          <w:tcPr>
            <w:tcW w:type="dxa" w:w="2400"/>
            <w:shd w:fill="F3F4F6" w:val="clear"/>
            <w:tcMar>
              <w:top w:type="dxa" w:w="100"/>
              <w:left w:type="dxa" w:w="150"/>
              <w:bottom w:type="dxa" w:w="100"/>
              <w:right w:type="dxa" w:w="150"/>
            </w:tcMar>
            <w:vAlign w:val="center"/>
          </w:tcPr>
          <w:p>
            <w:r>
              <w:rPr>
                <w:b/>
                <w:bCs/>
                <w:color w:val="1F2937"/>
                <w:sz w:val="20"/>
                <w:szCs w:val="20"/>
              </w:rPr>
              <w:t xml:space="preserve">Phase 4
Month 9+</w:t>
            </w:r>
          </w:p>
        </w:tc>
        <w:tc>
          <w:tcPr>
            <w:tcW w:type="dxa" w:w="7100"/>
            <w:shd w:fill="F3F4F6" w:val="clear"/>
            <w:tcMar>
              <w:top w:type="dxa" w:w="100"/>
              <w:left w:type="dxa" w:w="150"/>
              <w:bottom w:type="dxa" w:w="100"/>
              <w:right w:type="dxa" w:w="150"/>
            </w:tcMar>
            <w:vAlign w:val="center"/>
          </w:tcPr>
          <w:p>
            <w:pPr>
              <w:spacing w:after="0"/>
            </w:pPr>
            <w:r>
              <w:rPr>
                <w:b w:val="false"/>
                <w:bCs w:val="false"/>
                <w:i w:val="false"/>
                <w:iCs w:val="false"/>
                <w:color w:val="1F2937"/>
                <w:sz w:val="20"/>
                <w:szCs w:val="20"/>
              </w:rPr>
              <w:t xml:space="preserve">Premium Studio Enhancement Program (kitchenette installs), phased and tied to confirmed occupancy and demand thresholds.</w:t>
            </w:r>
          </w:p>
        </w:tc>
      </w:tr>
    </w:tbl>
    <w:p>
      <w:pPr>
        <w:pStyle w:val="Heading1"/>
        <w:pBdr>
          <w:bottom w:val="single" w:color="8A6D3B" w:sz="6" w:space="4"/>
        </w:pBdr>
        <w:spacing w:after="200" w:before="420"/>
      </w:pPr>
      <w:r>
        <w:rPr>
          <w:b/>
          <w:bCs/>
          <w:color w:val="1F2937"/>
          <w:sz w:val="30"/>
          <w:szCs w:val="30"/>
        </w:rPr>
        <w:t xml:space="preserve">Conclusion</w:t>
      </w:r>
    </w:p>
    <w:p>
      <w:pPr>
        <w:spacing w:after="160" w:line="276"/>
      </w:pPr>
      <w:r>
        <w:rPr>
          <w:i w:val="false"/>
          <w:iCs w:val="false"/>
          <w:color w:val="1F2937"/>
          <w:sz w:val="22"/>
          <w:szCs w:val="22"/>
        </w:rPr>
        <w:t xml:space="preserve">The discussions held during today's meeting established a clear roadmap for transforming Blumont Capital Tower into a professionally managed, revenue-generating hospitality asset.</w:t>
      </w:r>
    </w:p>
    <w:p>
      <w:pPr>
        <w:spacing w:after="160" w:line="276"/>
      </w:pPr>
      <w:r>
        <w:rPr>
          <w:i w:val="false"/>
          <w:iCs w:val="false"/>
          <w:color w:val="1F2937"/>
          <w:sz w:val="22"/>
          <w:szCs w:val="22"/>
        </w:rPr>
        <w:t xml:space="preserve">Through the implementation of advanced revenue management systems, dynamic pricing strategies, aggressive marketing and distribution initiatives, immediate commercial leasing opportunities, professional facilities management, dedicated on-site management personnel, property enhancement programs, preventative maintenance procedures, and future premium accommodation upgrades, REOM Homes Real Estate L.L.C. is confident that the property can achieve substantial improvements in occupancy, guest satisfaction, operational efficiency, and financial performance.</w:t>
      </w:r>
    </w:p>
    <w:p>
      <w:pPr>
        <w:spacing w:after="160" w:line="276"/>
      </w:pPr>
      <w:r>
        <w:rPr>
          <w:i w:val="false"/>
          <w:iCs w:val="false"/>
          <w:color w:val="1F2937"/>
          <w:sz w:val="22"/>
          <w:szCs w:val="22"/>
        </w:rPr>
        <w:t xml:space="preserve">Our objective extends beyond traditional property management. We aim to maximize every available revenue stream, increase the long-term value of the asset, elevate operational standards, and position Blumont Capital Tower as a leading hospitality destination within Abu Dhabi.</w:t>
      </w:r>
    </w:p>
    <w:p>
      <w:pPr>
        <w:spacing w:after="160" w:line="276"/>
      </w:pPr>
      <w:r>
        <w:rPr>
          <w:i w:val="false"/>
          <w:iCs w:val="false"/>
          <w:color w:val="1F2937"/>
          <w:sz w:val="22"/>
          <w:szCs w:val="22"/>
        </w:rPr>
        <w:t xml:space="preserve">REOM Homes Real Estate L.L.C. remains committed to delivering a comprehensive management solution focused on profitability, operational excellence, guest satisfaction, and sustainable long-term success for ownership. Figures marked in gold throughout this document are placeholders to be finalized with ownership before execution of the management agreement.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2026-07-02T00:29:03.558Z</dcterms:created>
  <dcterms:modified xsi:type="dcterms:W3CDTF">2026-07-02T00:29:03.571Z</dcterms:modified>
</cp:coreProperties>
</file>

<file path=docProps/custom.xml><?xml version="1.0" encoding="utf-8"?>
<Properties xmlns="http://schemas.openxmlformats.org/officeDocument/2006/custom-properties" xmlns:vt="http://schemas.openxmlformats.org/officeDocument/2006/docPropsVTypes"/>
</file>