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4E3" w:rsidRDefault="00C464E3">
      <w:r>
        <w:t xml:space="preserve">Laboratory Partner: Chris </w:t>
      </w:r>
      <w:proofErr w:type="spellStart"/>
      <w:r>
        <w:t>Lanskey</w:t>
      </w:r>
      <w:proofErr w:type="spellEnd"/>
      <w:r>
        <w:br/>
        <w:t>Experimentation Date: 25</w:t>
      </w:r>
      <w:r w:rsidRPr="00C464E3">
        <w:rPr>
          <w:vertAlign w:val="superscript"/>
        </w:rPr>
        <w:t>th</w:t>
      </w:r>
      <w:r>
        <w:t xml:space="preserve"> of August, 2017</w:t>
      </w:r>
      <w:r>
        <w:br/>
        <w:t>Report Finalisation Date: 8</w:t>
      </w:r>
      <w:r w:rsidRPr="00C464E3">
        <w:rPr>
          <w:vertAlign w:val="superscript"/>
        </w:rPr>
        <w:t>th</w:t>
      </w:r>
      <w:r>
        <w:t xml:space="preserve"> of </w:t>
      </w:r>
      <w:proofErr w:type="gramStart"/>
      <w:r>
        <w:t>September,</w:t>
      </w:r>
      <w:proofErr w:type="gramEnd"/>
      <w:r>
        <w:t xml:space="preserve"> 2017</w:t>
      </w:r>
    </w:p>
    <w:p w:rsidR="00C464E3" w:rsidRDefault="00C464E3">
      <w:pPr>
        <w:rPr>
          <w:sz w:val="32"/>
          <w:u w:val="single"/>
        </w:rPr>
      </w:pPr>
      <w:r w:rsidRPr="00C464E3">
        <w:rPr>
          <w:sz w:val="32"/>
          <w:u w:val="single"/>
        </w:rPr>
        <w:t>Introduction:</w:t>
      </w:r>
    </w:p>
    <w:p w:rsidR="00C464E3" w:rsidRPr="00230320" w:rsidRDefault="00812075" w:rsidP="00230320">
      <w:pPr>
        <w:jc w:val="both"/>
        <w:rPr>
          <w:sz w:val="20"/>
        </w:rPr>
      </w:pPr>
      <w:r w:rsidRPr="00230320">
        <w:rPr>
          <w:sz w:val="20"/>
        </w:rPr>
        <w:t xml:space="preserve">It has been defined that electric fields </w:t>
      </w:r>
      <w:r w:rsidR="00230320" w:rsidRPr="00230320">
        <w:rPr>
          <w:sz w:val="20"/>
        </w:rPr>
        <w:t xml:space="preserve">create forces on charges in their vicinity, where various apparatus </w:t>
      </w:r>
      <w:proofErr w:type="gramStart"/>
      <w:r w:rsidR="00230320" w:rsidRPr="00230320">
        <w:rPr>
          <w:sz w:val="20"/>
        </w:rPr>
        <w:t>are</w:t>
      </w:r>
      <w:proofErr w:type="gramEnd"/>
      <w:r w:rsidR="00230320" w:rsidRPr="00230320">
        <w:rPr>
          <w:sz w:val="20"/>
        </w:rPr>
        <w:t xml:space="preserve"> designed to create fields and test this. A Van de Graaff generator could be </w:t>
      </w:r>
      <w:proofErr w:type="spellStart"/>
      <w:r w:rsidR="00230320" w:rsidRPr="00230320">
        <w:rPr>
          <w:sz w:val="20"/>
        </w:rPr>
        <w:t>used</w:t>
      </w:r>
      <w:proofErr w:type="spellEnd"/>
      <w:r w:rsidR="00230320" w:rsidRPr="00230320">
        <w:rPr>
          <w:sz w:val="20"/>
        </w:rPr>
        <w:t xml:space="preserve"> to create an imbalance of charge on a sphere</w:t>
      </w:r>
      <w:r w:rsidR="00230320">
        <w:rPr>
          <w:sz w:val="20"/>
        </w:rPr>
        <w:t xml:space="preserve"> by transferring positive charges to the exterior surface of an attached metallic sphere. In doing this, a positive, radiating electric field is created, with the surface of the attached sphere as the source. In doing this, and defining the electric field and charges, the theoretical force on a conducting ball could be calculated given a predetermined distance from the sphere’s surface. </w:t>
      </w:r>
      <w:r w:rsidR="00C464E3" w:rsidRPr="00230320">
        <w:rPr>
          <w:sz w:val="20"/>
        </w:rPr>
        <w:t xml:space="preserve">The aim of the experiment was to determine the force on a conducting ball at a distance ‘d’ from a charged sphere as the result of an electric field. </w:t>
      </w:r>
    </w:p>
    <w:p w:rsidR="00230320" w:rsidRDefault="00230320" w:rsidP="00230320">
      <w:pPr>
        <w:jc w:val="both"/>
        <w:rPr>
          <w:sz w:val="20"/>
        </w:rPr>
      </w:pPr>
      <w:proofErr w:type="gramStart"/>
      <w:r w:rsidRPr="00230320">
        <w:rPr>
          <w:sz w:val="20"/>
        </w:rPr>
        <w:t>Specifically</w:t>
      </w:r>
      <w:proofErr w:type="gramEnd"/>
      <w:r w:rsidRPr="00230320">
        <w:rPr>
          <w:sz w:val="20"/>
        </w:rPr>
        <w:t xml:space="preserve"> in this investigation, a conducting ball was weighed and situated on scales and a field created. The field, based on prior theory [1], was defined to induce an attractive force on the polarised conducting ball, implying a ‘negative’ weight on the scales as downward force is lessened in the presence of an upwards force. </w:t>
      </w:r>
    </w:p>
    <w:p w:rsidR="00230320" w:rsidRDefault="00230320" w:rsidP="00230320">
      <w:pPr>
        <w:jc w:val="both"/>
        <w:rPr>
          <w:sz w:val="32"/>
          <w:u w:val="single"/>
        </w:rPr>
      </w:pPr>
      <w:r w:rsidRPr="00230320">
        <w:rPr>
          <w:sz w:val="32"/>
          <w:u w:val="single"/>
        </w:rPr>
        <w:t>Theory:</w:t>
      </w:r>
    </w:p>
    <w:p w:rsidR="00230320" w:rsidRPr="002612FF" w:rsidRDefault="00154020" w:rsidP="002612FF">
      <w:pPr>
        <w:jc w:val="both"/>
        <w:rPr>
          <w:sz w:val="20"/>
        </w:rPr>
      </w:pPr>
      <w:r w:rsidRPr="002612FF">
        <w:rPr>
          <w:sz w:val="20"/>
        </w:rPr>
        <w:t>Coulomb’s Law is described as the relationship between charge and distance, and is given by [1]</w:t>
      </w:r>
    </w:p>
    <w:p w:rsidR="00154020" w:rsidRPr="002612FF" w:rsidRDefault="00CF740B" w:rsidP="002612FF">
      <w:pPr>
        <w:jc w:val="both"/>
        <w:rPr>
          <w:rFonts w:eastAsiaTheme="minorEastAsia"/>
          <w:sz w:val="20"/>
        </w:rPr>
      </w:pPr>
      <m:oMathPara>
        <m:oMathParaPr>
          <m:jc m:val="center"/>
        </m:oMathParaPr>
        <m:oMath>
          <m:sSub>
            <m:sSubPr>
              <m:ctrlPr>
                <w:rPr>
                  <w:rFonts w:ascii="Cambria Math" w:hAnsi="Cambria Math"/>
                  <w:i/>
                  <w:sz w:val="20"/>
                </w:rPr>
              </m:ctrlPr>
            </m:sSubPr>
            <m:e>
              <m:r>
                <w:rPr>
                  <w:rFonts w:ascii="Cambria Math" w:hAnsi="Cambria Math"/>
                  <w:sz w:val="20"/>
                </w:rPr>
                <m:t>F</m:t>
              </m:r>
            </m:e>
            <m:sub>
              <m:r>
                <w:rPr>
                  <w:rFonts w:ascii="Cambria Math" w:hAnsi="Cambria Math"/>
                  <w:sz w:val="20"/>
                </w:rPr>
                <m:t>on q</m:t>
              </m:r>
            </m:sub>
          </m:sSub>
          <m:r>
            <w:rPr>
              <w:rFonts w:ascii="Cambria Math" w:hAnsi="Cambria Math"/>
              <w:sz w:val="20"/>
            </w:rPr>
            <m:t>=K</m:t>
          </m:r>
          <m:f>
            <m:fPr>
              <m:ctrlPr>
                <w:rPr>
                  <w:rFonts w:ascii="Cambria Math" w:hAnsi="Cambria Math"/>
                  <w:i/>
                  <w:sz w:val="20"/>
                </w:rPr>
              </m:ctrlPr>
            </m:fPr>
            <m:num>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q</m:t>
                      </m:r>
                    </m:e>
                    <m:sub>
                      <m:r>
                        <w:rPr>
                          <w:rFonts w:ascii="Cambria Math" w:hAnsi="Cambria Math"/>
                          <w:sz w:val="20"/>
                        </w:rPr>
                        <m:t>1</m:t>
                      </m:r>
                    </m:sub>
                  </m:sSub>
                </m:e>
              </m:d>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q</m:t>
                      </m:r>
                    </m:e>
                    <m:sub>
                      <m:r>
                        <w:rPr>
                          <w:rFonts w:ascii="Cambria Math" w:hAnsi="Cambria Math"/>
                          <w:sz w:val="20"/>
                        </w:rPr>
                        <m:t>2</m:t>
                      </m:r>
                    </m:sub>
                  </m:sSub>
                </m:e>
              </m:d>
            </m:num>
            <m:den>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den>
          </m:f>
        </m:oMath>
      </m:oMathPara>
    </w:p>
    <w:p w:rsidR="00CF740B" w:rsidRPr="002612FF" w:rsidRDefault="00CF740B" w:rsidP="002612FF">
      <w:pPr>
        <w:jc w:val="both"/>
        <w:rPr>
          <w:sz w:val="20"/>
        </w:rPr>
      </w:pPr>
      <w:r w:rsidRPr="002612FF">
        <w:rPr>
          <w:rFonts w:eastAsiaTheme="minorEastAsia"/>
          <w:sz w:val="20"/>
        </w:rPr>
        <w:t xml:space="preserve">Where, </w:t>
      </w:r>
      <w:proofErr w:type="spellStart"/>
      <w:r w:rsidRPr="002612FF">
        <w:rPr>
          <w:rFonts w:eastAsiaTheme="minorEastAsia"/>
          <w:sz w:val="20"/>
        </w:rPr>
        <w:t>F</w:t>
      </w:r>
      <w:r w:rsidRPr="002612FF">
        <w:rPr>
          <w:rFonts w:eastAsiaTheme="minorEastAsia"/>
          <w:sz w:val="20"/>
        </w:rPr>
        <w:softHyphen/>
      </w:r>
      <w:r w:rsidRPr="002612FF">
        <w:rPr>
          <w:rFonts w:eastAsiaTheme="minorEastAsia"/>
          <w:sz w:val="20"/>
        </w:rPr>
        <w:softHyphen/>
      </w:r>
      <w:r w:rsidRPr="002612FF">
        <w:rPr>
          <w:rFonts w:eastAsiaTheme="minorEastAsia"/>
          <w:sz w:val="20"/>
          <w:vertAlign w:val="subscript"/>
        </w:rPr>
        <w:t>on</w:t>
      </w:r>
      <w:proofErr w:type="spellEnd"/>
      <w:r w:rsidRPr="002612FF">
        <w:rPr>
          <w:rFonts w:eastAsiaTheme="minorEastAsia"/>
          <w:sz w:val="20"/>
          <w:vertAlign w:val="subscript"/>
        </w:rPr>
        <w:t xml:space="preserve"> </w:t>
      </w:r>
      <w:r w:rsidRPr="002612FF">
        <w:rPr>
          <w:sz w:val="20"/>
          <w:vertAlign w:val="subscript"/>
        </w:rPr>
        <w:t>q</w:t>
      </w:r>
      <w:r w:rsidRPr="002612FF">
        <w:rPr>
          <w:sz w:val="20"/>
        </w:rPr>
        <w:t xml:space="preserve"> is the resultant force on a charge in the influence of an electric field as a product of charges q</w:t>
      </w:r>
      <w:r w:rsidRPr="002612FF">
        <w:rPr>
          <w:sz w:val="20"/>
          <w:vertAlign w:val="subscript"/>
        </w:rPr>
        <w:t>1</w:t>
      </w:r>
      <w:r w:rsidRPr="002612FF">
        <w:rPr>
          <w:sz w:val="20"/>
        </w:rPr>
        <w:t xml:space="preserve"> and q</w:t>
      </w:r>
      <w:r w:rsidRPr="002612FF">
        <w:rPr>
          <w:sz w:val="20"/>
          <w:vertAlign w:val="subscript"/>
        </w:rPr>
        <w:t>2</w:t>
      </w:r>
      <w:r w:rsidRPr="002612FF">
        <w:rPr>
          <w:sz w:val="20"/>
        </w:rPr>
        <w:t xml:space="preserve"> and at a distance r from the charges. The constant K is defined as </w:t>
      </w:r>
    </w:p>
    <w:p w:rsidR="00CF740B" w:rsidRPr="002612FF" w:rsidRDefault="00CF740B" w:rsidP="002612FF">
      <w:pPr>
        <w:jc w:val="both"/>
        <w:rPr>
          <w:rFonts w:eastAsiaTheme="minorEastAsia"/>
          <w:sz w:val="20"/>
        </w:rPr>
      </w:pPr>
      <m:oMathPara>
        <m:oMath>
          <m:f>
            <m:fPr>
              <m:ctrlPr>
                <w:rPr>
                  <w:rFonts w:ascii="Cambria Math" w:hAnsi="Cambria Math"/>
                  <w:i/>
                  <w:sz w:val="20"/>
                </w:rPr>
              </m:ctrlPr>
            </m:fPr>
            <m:num>
              <m:r>
                <w:rPr>
                  <w:rFonts w:ascii="Cambria Math" w:hAnsi="Cambria Math"/>
                  <w:sz w:val="20"/>
                </w:rPr>
                <m:t>1</m:t>
              </m:r>
            </m:num>
            <m:den>
              <m:r>
                <w:rPr>
                  <w:rFonts w:ascii="Cambria Math" w:hAnsi="Cambria Math"/>
                  <w:sz w:val="20"/>
                </w:rPr>
                <m:t>4π</m:t>
              </m:r>
              <m:sSub>
                <m:sSubPr>
                  <m:ctrlPr>
                    <w:rPr>
                      <w:rFonts w:ascii="Cambria Math" w:hAnsi="Cambria Math"/>
                      <w:i/>
                      <w:sz w:val="20"/>
                    </w:rPr>
                  </m:ctrlPr>
                </m:sSubPr>
                <m:e>
                  <m:r>
                    <w:rPr>
                      <w:rFonts w:ascii="Cambria Math" w:hAnsi="Cambria Math"/>
                      <w:sz w:val="20"/>
                    </w:rPr>
                    <m:t>ϵ</m:t>
                  </m:r>
                </m:e>
                <m:sub>
                  <m:r>
                    <w:rPr>
                      <w:rFonts w:ascii="Cambria Math" w:hAnsi="Cambria Math"/>
                      <w:sz w:val="20"/>
                    </w:rPr>
                    <m:t>0</m:t>
                  </m:r>
                </m:sub>
              </m:sSub>
            </m:den>
          </m:f>
        </m:oMath>
      </m:oMathPara>
    </w:p>
    <w:p w:rsidR="002612FF" w:rsidRDefault="00CF740B" w:rsidP="002612FF">
      <w:pPr>
        <w:jc w:val="both"/>
        <w:rPr>
          <w:rFonts w:eastAsiaTheme="minorEastAsia"/>
          <w:sz w:val="20"/>
        </w:rPr>
      </w:pPr>
      <w:r w:rsidRPr="002612FF">
        <w:rPr>
          <w:rFonts w:eastAsiaTheme="minorEastAsia"/>
          <w:sz w:val="20"/>
        </w:rPr>
        <w:t xml:space="preserve">Using Coulomb’s Law, the force on a charged (or polarised) object may be calculated given defined variables. While the distance r is controlled, the charges of the two analysed spheres are not known. </w:t>
      </w:r>
    </w:p>
    <w:p w:rsidR="002612FF" w:rsidRDefault="002612FF" w:rsidP="002612FF">
      <w:pPr>
        <w:jc w:val="both"/>
        <w:rPr>
          <w:rFonts w:eastAsiaTheme="minorEastAsia"/>
          <w:sz w:val="20"/>
        </w:rPr>
      </w:pPr>
      <w:r>
        <w:rPr>
          <w:rFonts w:eastAsiaTheme="minorEastAsia"/>
          <w:sz w:val="20"/>
        </w:rPr>
        <w:t>To obtain values for force from raw data of force, the force equation must be calculated with obtained values for mass and known values of attraction (Earth’s gravity of 9.8m/s</w:t>
      </w:r>
      <w:r>
        <w:rPr>
          <w:rFonts w:eastAsiaTheme="minorEastAsia"/>
          <w:sz w:val="20"/>
          <w:vertAlign w:val="superscript"/>
        </w:rPr>
        <w:t>2</w:t>
      </w:r>
      <w:r>
        <w:rPr>
          <w:rFonts w:eastAsiaTheme="minorEastAsia"/>
          <w:sz w:val="20"/>
        </w:rPr>
        <w:t>):</w:t>
      </w:r>
    </w:p>
    <w:p w:rsidR="002612FF" w:rsidRPr="002612FF" w:rsidRDefault="002612FF" w:rsidP="002612FF">
      <w:pPr>
        <w:jc w:val="both"/>
        <w:rPr>
          <w:rFonts w:eastAsiaTheme="minorEastAsia"/>
          <w:sz w:val="20"/>
        </w:rPr>
      </w:pPr>
      <m:oMathPara>
        <m:oMath>
          <m:r>
            <w:rPr>
              <w:rFonts w:ascii="Cambria Math" w:eastAsiaTheme="minorEastAsia" w:hAnsi="Cambria Math"/>
              <w:sz w:val="20"/>
            </w:rPr>
            <m:t>F=ma</m:t>
          </m:r>
        </m:oMath>
      </m:oMathPara>
    </w:p>
    <w:p w:rsidR="002612FF" w:rsidRPr="002612FF" w:rsidRDefault="002612FF" w:rsidP="002612FF">
      <w:pPr>
        <w:jc w:val="both"/>
        <w:rPr>
          <w:rFonts w:eastAsiaTheme="minorEastAsia"/>
          <w:sz w:val="20"/>
        </w:rPr>
      </w:pPr>
      <w:r>
        <w:rPr>
          <w:rFonts w:eastAsiaTheme="minorEastAsia"/>
          <w:sz w:val="20"/>
        </w:rPr>
        <w:t>Since the conducting ball will be polarised under a non-uniform electric field of a sphere, the ball will be attracted to the electric field source [1], and thus a negative weight (force in the upwards direction, countering gravity’s downward force) is expected to be seen.</w:t>
      </w:r>
    </w:p>
    <w:p w:rsidR="00C630C5" w:rsidRPr="002612FF" w:rsidRDefault="002612FF" w:rsidP="00230320">
      <w:pPr>
        <w:rPr>
          <w:sz w:val="20"/>
        </w:rPr>
      </w:pPr>
      <w:r>
        <w:rPr>
          <w:rFonts w:eastAsiaTheme="minorEastAsia"/>
          <w:sz w:val="20"/>
        </w:rPr>
        <w:t xml:space="preserve">To ultimately test Coulomb’s Law, the obtained values for force must be plotted against values for r. The theory predicts that an inverse square relationship is present, where the field is stronger </w:t>
      </w:r>
      <w:proofErr w:type="gramStart"/>
      <w:r>
        <w:rPr>
          <w:rFonts w:eastAsiaTheme="minorEastAsia"/>
          <w:sz w:val="20"/>
        </w:rPr>
        <w:t>in close proximity to</w:t>
      </w:r>
      <w:proofErr w:type="gramEnd"/>
      <w:r>
        <w:rPr>
          <w:rFonts w:eastAsiaTheme="minorEastAsia"/>
          <w:sz w:val="20"/>
        </w:rPr>
        <w:t xml:space="preserve"> the source. </w:t>
      </w:r>
    </w:p>
    <w:p w:rsidR="00230320" w:rsidRDefault="00230320" w:rsidP="00230320">
      <w:pPr>
        <w:jc w:val="both"/>
        <w:rPr>
          <w:sz w:val="32"/>
          <w:u w:val="single"/>
        </w:rPr>
      </w:pPr>
      <w:r w:rsidRPr="00230320">
        <w:rPr>
          <w:sz w:val="32"/>
          <w:u w:val="single"/>
        </w:rPr>
        <w:t>Experimental Arrangement:</w:t>
      </w:r>
    </w:p>
    <w:p w:rsidR="00230320" w:rsidRPr="008A0EEE" w:rsidRDefault="008A0EEE" w:rsidP="008A0EEE">
      <w:pPr>
        <w:jc w:val="both"/>
        <w:rPr>
          <w:sz w:val="20"/>
        </w:rPr>
      </w:pPr>
      <w:r w:rsidRPr="008A0EEE">
        <w:rPr>
          <w:sz w:val="20"/>
        </w:rPr>
        <w:t xml:space="preserve">A metallic grounding ball was suspended via a retort stand </w:t>
      </w:r>
      <w:r>
        <w:rPr>
          <w:sz w:val="20"/>
        </w:rPr>
        <w:t xml:space="preserve">directly </w:t>
      </w:r>
      <w:r w:rsidRPr="008A0EEE">
        <w:rPr>
          <w:sz w:val="20"/>
        </w:rPr>
        <w:t xml:space="preserve">above an acrylic </w:t>
      </w:r>
      <w:r>
        <w:rPr>
          <w:sz w:val="20"/>
        </w:rPr>
        <w:t>tube</w:t>
      </w:r>
      <w:r w:rsidRPr="008A0EEE">
        <w:rPr>
          <w:sz w:val="20"/>
        </w:rPr>
        <w:t>.</w:t>
      </w:r>
      <w:r>
        <w:rPr>
          <w:sz w:val="20"/>
        </w:rPr>
        <w:t xml:space="preserve"> The grounding ball was connected to the Van de Graaff generator via a wire, so that the grounding ball would be directly charged. </w:t>
      </w:r>
      <w:r>
        <w:rPr>
          <w:sz w:val="20"/>
        </w:rPr>
        <w:br/>
        <w:t xml:space="preserve">The acrylic tube was situated upon scales, with a funnel atop the tube with a conducting ball held securely in the funnel. The scales were zeroed after the ball was placed atop, and the distance between the grounding ball and conducting ball was measured with a ruler and recorded. The Van de Graaff generator was then charged using a uniform clockwise rotation, and any weight change in the scales were recorded. This process was completed multiple times with varying distances between the grounding ball and the conducting ball. </w:t>
      </w:r>
    </w:p>
    <w:p w:rsidR="00230320" w:rsidRDefault="00230320" w:rsidP="00230320">
      <w:pPr>
        <w:jc w:val="both"/>
        <w:rPr>
          <w:sz w:val="32"/>
          <w:u w:val="single"/>
        </w:rPr>
      </w:pPr>
      <w:r w:rsidRPr="00230320">
        <w:rPr>
          <w:sz w:val="32"/>
          <w:u w:val="single"/>
        </w:rPr>
        <w:lastRenderedPageBreak/>
        <w:t>Results and Discussion:</w:t>
      </w:r>
    </w:p>
    <w:p w:rsidR="00230320" w:rsidRDefault="008A0EEE" w:rsidP="00DC0A25">
      <w:pPr>
        <w:jc w:val="both"/>
        <w:rPr>
          <w:sz w:val="20"/>
        </w:rPr>
      </w:pPr>
      <w:r>
        <w:rPr>
          <w:sz w:val="20"/>
        </w:rPr>
        <w:t xml:space="preserve">With a constant conducting ball mass, beginning at zero before every data entry, the distance (d, measured in metres) was changed with every data iteration. </w:t>
      </w:r>
      <w:r w:rsidR="00E03F08">
        <w:rPr>
          <w:sz w:val="20"/>
        </w:rPr>
        <w:t>Values in table 1 show the observed change in ball mass in relation to the change in distance between the conducting ball and the source of the field.</w:t>
      </w:r>
    </w:p>
    <w:p w:rsidR="00DC0A25" w:rsidRDefault="00E03F08" w:rsidP="00DC0A25">
      <w:pPr>
        <w:jc w:val="both"/>
        <w:rPr>
          <w:sz w:val="20"/>
        </w:rPr>
      </w:pPr>
      <w:r w:rsidRPr="00E03F08">
        <w:rPr>
          <w:sz w:val="20"/>
        </w:rPr>
        <w:t>A value of uncertainty for each measurement of distance was defined as ±</w:t>
      </w:r>
      <w:r>
        <w:rPr>
          <w:sz w:val="20"/>
        </w:rPr>
        <w:t xml:space="preserve">2mm (or </w:t>
      </w:r>
      <w:r w:rsidRPr="00E03F08">
        <w:rPr>
          <w:sz w:val="20"/>
        </w:rPr>
        <w:t>±</w:t>
      </w:r>
      <w:r>
        <w:rPr>
          <w:sz w:val="20"/>
        </w:rPr>
        <w:t xml:space="preserve">0.002m) due to difficulties in observing marked increments in the ruler used. In conjunction with this, the spherical shape of each of the measured balls made it difficult to accurately define exact starting and ending points for each measurement. </w:t>
      </w:r>
      <w:r w:rsidR="00DC0A25">
        <w:rPr>
          <w:sz w:val="20"/>
        </w:rPr>
        <w:br/>
        <w:t xml:space="preserve">A degree of </w:t>
      </w:r>
      <w:r w:rsidR="00DC0A25" w:rsidRPr="00E03F08">
        <w:rPr>
          <w:sz w:val="20"/>
        </w:rPr>
        <w:t>±</w:t>
      </w:r>
      <w:r w:rsidR="00DC0A25">
        <w:rPr>
          <w:sz w:val="20"/>
        </w:rPr>
        <w:t xml:space="preserve">0.001g of error was decided upon for the observed mass due to acute fluctuations of the maximum mass value. Instead of the mass plateauing at a singular value, it ranged between two values about a central point. Given the scales accuracy to within a thousandth of a gram, this was the agreed upon uncertainty. </w:t>
      </w:r>
    </w:p>
    <w:p w:rsidR="00E03F08" w:rsidRDefault="00E03F08" w:rsidP="00E03F08">
      <w:pPr>
        <w:rPr>
          <w:b/>
          <w:i/>
          <w:sz w:val="20"/>
        </w:rPr>
      </w:pPr>
      <w:r w:rsidRPr="00E03F08">
        <w:rPr>
          <w:b/>
          <w:i/>
          <w:sz w:val="20"/>
        </w:rPr>
        <w:t>Table 1: Summary of Obtained Data</w:t>
      </w:r>
    </w:p>
    <w:tbl>
      <w:tblPr>
        <w:tblStyle w:val="TableGrid"/>
        <w:tblW w:w="7650" w:type="dxa"/>
        <w:tblLook w:val="04A0" w:firstRow="1" w:lastRow="0" w:firstColumn="1" w:lastColumn="0" w:noHBand="0" w:noVBand="1"/>
      </w:tblPr>
      <w:tblGrid>
        <w:gridCol w:w="2547"/>
        <w:gridCol w:w="2410"/>
        <w:gridCol w:w="2693"/>
      </w:tblGrid>
      <w:tr w:rsidR="00E03F08" w:rsidRPr="00E03F08" w:rsidTr="00DC0A25">
        <w:trPr>
          <w:trHeight w:val="300"/>
        </w:trPr>
        <w:tc>
          <w:tcPr>
            <w:tcW w:w="2547" w:type="dxa"/>
            <w:noWrap/>
            <w:hideMark/>
          </w:tcPr>
          <w:p w:rsidR="00E03F08" w:rsidRDefault="00E03F08" w:rsidP="00E03F08">
            <w:pPr>
              <w:rPr>
                <w:rFonts w:ascii="Calibri" w:hAnsi="Calibri" w:cs="Calibri"/>
                <w:color w:val="000000"/>
              </w:rPr>
            </w:pPr>
            <w:r>
              <w:rPr>
                <w:rFonts w:ascii="Calibri" w:hAnsi="Calibri" w:cs="Calibri"/>
                <w:color w:val="000000"/>
              </w:rPr>
              <w:t>Distance (m) (+/- 0.002m)</w:t>
            </w:r>
          </w:p>
        </w:tc>
        <w:tc>
          <w:tcPr>
            <w:tcW w:w="2410" w:type="dxa"/>
          </w:tcPr>
          <w:p w:rsidR="00E03F08" w:rsidRDefault="00E03F08" w:rsidP="00E03F08">
            <w:pPr>
              <w:rPr>
                <w:rFonts w:ascii="Calibri" w:hAnsi="Calibri" w:cs="Calibri"/>
                <w:color w:val="000000"/>
              </w:rPr>
            </w:pPr>
            <w:r>
              <w:rPr>
                <w:rFonts w:ascii="Calibri" w:hAnsi="Calibri" w:cs="Calibri"/>
                <w:color w:val="000000"/>
              </w:rPr>
              <w:t>Mass (g) (+/-0.001g)</w:t>
            </w:r>
          </w:p>
        </w:tc>
        <w:tc>
          <w:tcPr>
            <w:tcW w:w="2693" w:type="dxa"/>
          </w:tcPr>
          <w:p w:rsidR="00E03F08" w:rsidRDefault="00E03F08" w:rsidP="00E03F08">
            <w:pPr>
              <w:rPr>
                <w:rFonts w:ascii="Calibri" w:hAnsi="Calibri" w:cs="Calibri"/>
                <w:color w:val="000000"/>
              </w:rPr>
            </w:pPr>
            <w:r>
              <w:rPr>
                <w:rFonts w:ascii="Calibri" w:hAnsi="Calibri" w:cs="Calibri"/>
                <w:color w:val="000000"/>
              </w:rPr>
              <w:t>Force (N) (+/-0.0098</w:t>
            </w:r>
            <w:r w:rsidR="00DC0A25">
              <w:rPr>
                <w:rFonts w:ascii="Calibri" w:hAnsi="Calibri" w:cs="Calibri"/>
                <w:color w:val="000000"/>
              </w:rPr>
              <w:t>1</w:t>
            </w:r>
            <w:r>
              <w:rPr>
                <w:rFonts w:ascii="Calibri" w:hAnsi="Calibri" w:cs="Calibri"/>
                <w:color w:val="000000"/>
              </w:rPr>
              <w:t>N)</w:t>
            </w:r>
          </w:p>
        </w:tc>
      </w:tr>
      <w:tr w:rsidR="00DC0A25" w:rsidRPr="00E03F08" w:rsidTr="006C2792">
        <w:trPr>
          <w:trHeight w:val="300"/>
        </w:trPr>
        <w:tc>
          <w:tcPr>
            <w:tcW w:w="2547" w:type="dxa"/>
            <w:noWrap/>
            <w:vAlign w:val="bottom"/>
            <w:hideMark/>
          </w:tcPr>
          <w:p w:rsidR="00DC0A25" w:rsidRDefault="00DC0A25" w:rsidP="00DC0A25">
            <w:pPr>
              <w:jc w:val="right"/>
              <w:rPr>
                <w:rFonts w:ascii="Calibri" w:hAnsi="Calibri" w:cs="Calibri"/>
                <w:color w:val="000000"/>
              </w:rPr>
            </w:pPr>
            <w:r>
              <w:rPr>
                <w:rFonts w:ascii="Calibri" w:hAnsi="Calibri" w:cs="Calibri"/>
                <w:color w:val="000000"/>
              </w:rPr>
              <w:t>0.094</w:t>
            </w:r>
          </w:p>
        </w:tc>
        <w:tc>
          <w:tcPr>
            <w:tcW w:w="2410" w:type="dxa"/>
            <w:vAlign w:val="bottom"/>
          </w:tcPr>
          <w:p w:rsidR="00DC0A25" w:rsidRDefault="00DC0A25" w:rsidP="00DC0A25">
            <w:pPr>
              <w:jc w:val="right"/>
              <w:rPr>
                <w:rFonts w:ascii="Calibri" w:hAnsi="Calibri" w:cs="Calibri"/>
                <w:color w:val="000000"/>
              </w:rPr>
            </w:pPr>
            <w:r>
              <w:rPr>
                <w:rFonts w:ascii="Calibri" w:hAnsi="Calibri" w:cs="Calibri"/>
                <w:color w:val="000000"/>
              </w:rPr>
              <w:t>0.002</w:t>
            </w:r>
          </w:p>
        </w:tc>
        <w:tc>
          <w:tcPr>
            <w:tcW w:w="2693" w:type="dxa"/>
            <w:vAlign w:val="bottom"/>
          </w:tcPr>
          <w:p w:rsidR="00DC0A25" w:rsidRDefault="00DC0A25" w:rsidP="00DC0A25">
            <w:pPr>
              <w:jc w:val="right"/>
              <w:rPr>
                <w:rFonts w:ascii="Calibri" w:hAnsi="Calibri" w:cs="Calibri"/>
                <w:color w:val="000000"/>
              </w:rPr>
            </w:pPr>
            <w:r>
              <w:rPr>
                <w:rFonts w:ascii="Calibri" w:hAnsi="Calibri" w:cs="Calibri"/>
                <w:color w:val="000000"/>
              </w:rPr>
              <w:t>0.01962</w:t>
            </w:r>
          </w:p>
        </w:tc>
      </w:tr>
      <w:tr w:rsidR="00DC0A25" w:rsidRPr="00E03F08" w:rsidTr="006C2792">
        <w:trPr>
          <w:trHeight w:val="300"/>
        </w:trPr>
        <w:tc>
          <w:tcPr>
            <w:tcW w:w="2547" w:type="dxa"/>
            <w:noWrap/>
            <w:vAlign w:val="bottom"/>
            <w:hideMark/>
          </w:tcPr>
          <w:p w:rsidR="00DC0A25" w:rsidRDefault="00DC0A25" w:rsidP="00DC0A25">
            <w:pPr>
              <w:jc w:val="right"/>
              <w:rPr>
                <w:rFonts w:ascii="Calibri" w:hAnsi="Calibri" w:cs="Calibri"/>
                <w:color w:val="000000"/>
              </w:rPr>
            </w:pPr>
            <w:r>
              <w:rPr>
                <w:rFonts w:ascii="Calibri" w:hAnsi="Calibri" w:cs="Calibri"/>
                <w:color w:val="000000"/>
              </w:rPr>
              <w:t>0.092</w:t>
            </w:r>
          </w:p>
        </w:tc>
        <w:tc>
          <w:tcPr>
            <w:tcW w:w="2410" w:type="dxa"/>
            <w:vAlign w:val="bottom"/>
          </w:tcPr>
          <w:p w:rsidR="00DC0A25" w:rsidRDefault="00DC0A25" w:rsidP="00DC0A25">
            <w:pPr>
              <w:jc w:val="right"/>
              <w:rPr>
                <w:rFonts w:ascii="Calibri" w:hAnsi="Calibri" w:cs="Calibri"/>
                <w:color w:val="000000"/>
              </w:rPr>
            </w:pPr>
            <w:r>
              <w:rPr>
                <w:rFonts w:ascii="Calibri" w:hAnsi="Calibri" w:cs="Calibri"/>
                <w:color w:val="000000"/>
              </w:rPr>
              <w:t>0.004</w:t>
            </w:r>
          </w:p>
        </w:tc>
        <w:tc>
          <w:tcPr>
            <w:tcW w:w="2693" w:type="dxa"/>
            <w:vAlign w:val="bottom"/>
          </w:tcPr>
          <w:p w:rsidR="00DC0A25" w:rsidRDefault="00DC0A25" w:rsidP="00DC0A25">
            <w:pPr>
              <w:jc w:val="right"/>
              <w:rPr>
                <w:rFonts w:ascii="Calibri" w:hAnsi="Calibri" w:cs="Calibri"/>
                <w:color w:val="000000"/>
              </w:rPr>
            </w:pPr>
            <w:r>
              <w:rPr>
                <w:rFonts w:ascii="Calibri" w:hAnsi="Calibri" w:cs="Calibri"/>
                <w:color w:val="000000"/>
              </w:rPr>
              <w:t>0.03924</w:t>
            </w:r>
          </w:p>
        </w:tc>
      </w:tr>
      <w:tr w:rsidR="00DC0A25" w:rsidRPr="00E03F08" w:rsidTr="006C2792">
        <w:trPr>
          <w:trHeight w:val="300"/>
        </w:trPr>
        <w:tc>
          <w:tcPr>
            <w:tcW w:w="2547" w:type="dxa"/>
            <w:noWrap/>
            <w:vAlign w:val="bottom"/>
            <w:hideMark/>
          </w:tcPr>
          <w:p w:rsidR="00DC0A25" w:rsidRDefault="00DC0A25" w:rsidP="00DC0A25">
            <w:pPr>
              <w:jc w:val="right"/>
              <w:rPr>
                <w:rFonts w:ascii="Calibri" w:hAnsi="Calibri" w:cs="Calibri"/>
                <w:color w:val="000000"/>
              </w:rPr>
            </w:pPr>
            <w:r>
              <w:rPr>
                <w:rFonts w:ascii="Calibri" w:hAnsi="Calibri" w:cs="Calibri"/>
                <w:color w:val="000000"/>
              </w:rPr>
              <w:t>0.078</w:t>
            </w:r>
          </w:p>
        </w:tc>
        <w:tc>
          <w:tcPr>
            <w:tcW w:w="2410" w:type="dxa"/>
            <w:vAlign w:val="bottom"/>
          </w:tcPr>
          <w:p w:rsidR="00DC0A25" w:rsidRDefault="00DC0A25" w:rsidP="00DC0A25">
            <w:pPr>
              <w:jc w:val="right"/>
              <w:rPr>
                <w:rFonts w:ascii="Calibri" w:hAnsi="Calibri" w:cs="Calibri"/>
                <w:color w:val="000000"/>
              </w:rPr>
            </w:pPr>
            <w:r>
              <w:rPr>
                <w:rFonts w:ascii="Calibri" w:hAnsi="Calibri" w:cs="Calibri"/>
                <w:color w:val="000000"/>
              </w:rPr>
              <w:t>0.012</w:t>
            </w:r>
          </w:p>
        </w:tc>
        <w:tc>
          <w:tcPr>
            <w:tcW w:w="2693" w:type="dxa"/>
            <w:vAlign w:val="bottom"/>
          </w:tcPr>
          <w:p w:rsidR="00DC0A25" w:rsidRDefault="00DC0A25" w:rsidP="00DC0A25">
            <w:pPr>
              <w:jc w:val="right"/>
              <w:rPr>
                <w:rFonts w:ascii="Calibri" w:hAnsi="Calibri" w:cs="Calibri"/>
                <w:color w:val="000000"/>
              </w:rPr>
            </w:pPr>
            <w:r>
              <w:rPr>
                <w:rFonts w:ascii="Calibri" w:hAnsi="Calibri" w:cs="Calibri"/>
                <w:color w:val="000000"/>
              </w:rPr>
              <w:t>0.11772</w:t>
            </w:r>
          </w:p>
        </w:tc>
      </w:tr>
      <w:tr w:rsidR="00DC0A25" w:rsidRPr="00E03F08" w:rsidTr="006C2792">
        <w:trPr>
          <w:trHeight w:val="300"/>
        </w:trPr>
        <w:tc>
          <w:tcPr>
            <w:tcW w:w="2547" w:type="dxa"/>
            <w:noWrap/>
            <w:vAlign w:val="bottom"/>
            <w:hideMark/>
          </w:tcPr>
          <w:p w:rsidR="00DC0A25" w:rsidRDefault="00DC0A25" w:rsidP="00DC0A25">
            <w:pPr>
              <w:jc w:val="right"/>
              <w:rPr>
                <w:rFonts w:ascii="Calibri" w:hAnsi="Calibri" w:cs="Calibri"/>
                <w:color w:val="000000"/>
              </w:rPr>
            </w:pPr>
            <w:r>
              <w:rPr>
                <w:rFonts w:ascii="Calibri" w:hAnsi="Calibri" w:cs="Calibri"/>
                <w:color w:val="000000"/>
              </w:rPr>
              <w:t>0.067</w:t>
            </w:r>
          </w:p>
        </w:tc>
        <w:tc>
          <w:tcPr>
            <w:tcW w:w="2410" w:type="dxa"/>
            <w:vAlign w:val="bottom"/>
          </w:tcPr>
          <w:p w:rsidR="00DC0A25" w:rsidRDefault="00DC0A25" w:rsidP="00DC0A25">
            <w:pPr>
              <w:jc w:val="right"/>
              <w:rPr>
                <w:rFonts w:ascii="Calibri" w:hAnsi="Calibri" w:cs="Calibri"/>
                <w:color w:val="000000"/>
              </w:rPr>
            </w:pPr>
            <w:r>
              <w:rPr>
                <w:rFonts w:ascii="Calibri" w:hAnsi="Calibri" w:cs="Calibri"/>
                <w:color w:val="000000"/>
              </w:rPr>
              <w:t>0.002</w:t>
            </w:r>
          </w:p>
        </w:tc>
        <w:tc>
          <w:tcPr>
            <w:tcW w:w="2693" w:type="dxa"/>
            <w:vAlign w:val="bottom"/>
          </w:tcPr>
          <w:p w:rsidR="00DC0A25" w:rsidRDefault="00DC0A25" w:rsidP="00DC0A25">
            <w:pPr>
              <w:jc w:val="right"/>
              <w:rPr>
                <w:rFonts w:ascii="Calibri" w:hAnsi="Calibri" w:cs="Calibri"/>
                <w:color w:val="000000"/>
              </w:rPr>
            </w:pPr>
            <w:r>
              <w:rPr>
                <w:rFonts w:ascii="Calibri" w:hAnsi="Calibri" w:cs="Calibri"/>
                <w:color w:val="000000"/>
              </w:rPr>
              <w:t>0.01962</w:t>
            </w:r>
          </w:p>
        </w:tc>
      </w:tr>
      <w:tr w:rsidR="00DC0A25" w:rsidRPr="00E03F08" w:rsidTr="006C2792">
        <w:trPr>
          <w:trHeight w:val="300"/>
        </w:trPr>
        <w:tc>
          <w:tcPr>
            <w:tcW w:w="2547" w:type="dxa"/>
            <w:noWrap/>
            <w:vAlign w:val="bottom"/>
            <w:hideMark/>
          </w:tcPr>
          <w:p w:rsidR="00DC0A25" w:rsidRDefault="00DC0A25" w:rsidP="00DC0A25">
            <w:pPr>
              <w:jc w:val="right"/>
              <w:rPr>
                <w:rFonts w:ascii="Calibri" w:hAnsi="Calibri" w:cs="Calibri"/>
                <w:color w:val="000000"/>
              </w:rPr>
            </w:pPr>
            <w:r>
              <w:rPr>
                <w:rFonts w:ascii="Calibri" w:hAnsi="Calibri" w:cs="Calibri"/>
                <w:color w:val="000000"/>
              </w:rPr>
              <w:t>0.045</w:t>
            </w:r>
          </w:p>
        </w:tc>
        <w:tc>
          <w:tcPr>
            <w:tcW w:w="2410" w:type="dxa"/>
            <w:vAlign w:val="bottom"/>
          </w:tcPr>
          <w:p w:rsidR="00DC0A25" w:rsidRDefault="00DC0A25" w:rsidP="00DC0A25">
            <w:pPr>
              <w:jc w:val="right"/>
              <w:rPr>
                <w:rFonts w:ascii="Calibri" w:hAnsi="Calibri" w:cs="Calibri"/>
                <w:color w:val="000000"/>
              </w:rPr>
            </w:pPr>
            <w:r>
              <w:rPr>
                <w:rFonts w:ascii="Calibri" w:hAnsi="Calibri" w:cs="Calibri"/>
                <w:color w:val="000000"/>
              </w:rPr>
              <w:t>0.053</w:t>
            </w:r>
          </w:p>
        </w:tc>
        <w:tc>
          <w:tcPr>
            <w:tcW w:w="2693" w:type="dxa"/>
            <w:vAlign w:val="bottom"/>
          </w:tcPr>
          <w:p w:rsidR="00DC0A25" w:rsidRDefault="00DC0A25" w:rsidP="00DC0A25">
            <w:pPr>
              <w:jc w:val="right"/>
              <w:rPr>
                <w:rFonts w:ascii="Calibri" w:hAnsi="Calibri" w:cs="Calibri"/>
                <w:color w:val="000000"/>
              </w:rPr>
            </w:pPr>
            <w:r>
              <w:rPr>
                <w:rFonts w:ascii="Calibri" w:hAnsi="Calibri" w:cs="Calibri"/>
                <w:color w:val="000000"/>
              </w:rPr>
              <w:t>0.51993</w:t>
            </w:r>
          </w:p>
        </w:tc>
      </w:tr>
      <w:tr w:rsidR="00DC0A25" w:rsidRPr="00E03F08" w:rsidTr="006C2792">
        <w:trPr>
          <w:trHeight w:val="300"/>
        </w:trPr>
        <w:tc>
          <w:tcPr>
            <w:tcW w:w="2547" w:type="dxa"/>
            <w:noWrap/>
            <w:vAlign w:val="bottom"/>
            <w:hideMark/>
          </w:tcPr>
          <w:p w:rsidR="00DC0A25" w:rsidRDefault="00DC0A25" w:rsidP="00DC0A25">
            <w:pPr>
              <w:jc w:val="right"/>
              <w:rPr>
                <w:rFonts w:ascii="Calibri" w:hAnsi="Calibri" w:cs="Calibri"/>
                <w:color w:val="000000"/>
              </w:rPr>
            </w:pPr>
            <w:r>
              <w:rPr>
                <w:rFonts w:ascii="Calibri" w:hAnsi="Calibri" w:cs="Calibri"/>
                <w:color w:val="000000"/>
              </w:rPr>
              <w:t>0.038</w:t>
            </w:r>
          </w:p>
        </w:tc>
        <w:tc>
          <w:tcPr>
            <w:tcW w:w="2410" w:type="dxa"/>
            <w:vAlign w:val="bottom"/>
          </w:tcPr>
          <w:p w:rsidR="00DC0A25" w:rsidRDefault="00DC0A25" w:rsidP="00DC0A25">
            <w:pPr>
              <w:jc w:val="right"/>
              <w:rPr>
                <w:rFonts w:ascii="Calibri" w:hAnsi="Calibri" w:cs="Calibri"/>
                <w:color w:val="000000"/>
              </w:rPr>
            </w:pPr>
            <w:r>
              <w:rPr>
                <w:rFonts w:ascii="Calibri" w:hAnsi="Calibri" w:cs="Calibri"/>
                <w:color w:val="000000"/>
              </w:rPr>
              <w:t>0.053</w:t>
            </w:r>
          </w:p>
        </w:tc>
        <w:tc>
          <w:tcPr>
            <w:tcW w:w="2693" w:type="dxa"/>
            <w:vAlign w:val="bottom"/>
          </w:tcPr>
          <w:p w:rsidR="00DC0A25" w:rsidRDefault="00DC0A25" w:rsidP="00DC0A25">
            <w:pPr>
              <w:jc w:val="right"/>
              <w:rPr>
                <w:rFonts w:ascii="Calibri" w:hAnsi="Calibri" w:cs="Calibri"/>
                <w:color w:val="000000"/>
              </w:rPr>
            </w:pPr>
            <w:r>
              <w:rPr>
                <w:rFonts w:ascii="Calibri" w:hAnsi="Calibri" w:cs="Calibri"/>
                <w:color w:val="000000"/>
              </w:rPr>
              <w:t>0.51993</w:t>
            </w:r>
          </w:p>
        </w:tc>
      </w:tr>
      <w:tr w:rsidR="00DC0A25" w:rsidRPr="00E03F08" w:rsidTr="006C2792">
        <w:trPr>
          <w:trHeight w:val="300"/>
        </w:trPr>
        <w:tc>
          <w:tcPr>
            <w:tcW w:w="2547" w:type="dxa"/>
            <w:noWrap/>
            <w:vAlign w:val="bottom"/>
            <w:hideMark/>
          </w:tcPr>
          <w:p w:rsidR="00DC0A25" w:rsidRDefault="00DC0A25" w:rsidP="00DC0A25">
            <w:pPr>
              <w:jc w:val="right"/>
              <w:rPr>
                <w:rFonts w:ascii="Calibri" w:hAnsi="Calibri" w:cs="Calibri"/>
                <w:color w:val="000000"/>
              </w:rPr>
            </w:pPr>
            <w:r>
              <w:rPr>
                <w:rFonts w:ascii="Calibri" w:hAnsi="Calibri" w:cs="Calibri"/>
                <w:color w:val="000000"/>
              </w:rPr>
              <w:t>0.016</w:t>
            </w:r>
          </w:p>
        </w:tc>
        <w:tc>
          <w:tcPr>
            <w:tcW w:w="2410" w:type="dxa"/>
            <w:vAlign w:val="bottom"/>
          </w:tcPr>
          <w:p w:rsidR="00DC0A25" w:rsidRDefault="00DC0A25" w:rsidP="00DC0A25">
            <w:pPr>
              <w:jc w:val="right"/>
              <w:rPr>
                <w:rFonts w:ascii="Calibri" w:hAnsi="Calibri" w:cs="Calibri"/>
                <w:color w:val="000000"/>
              </w:rPr>
            </w:pPr>
            <w:r>
              <w:rPr>
                <w:rFonts w:ascii="Calibri" w:hAnsi="Calibri" w:cs="Calibri"/>
                <w:color w:val="000000"/>
              </w:rPr>
              <w:t>0.1</w:t>
            </w:r>
          </w:p>
        </w:tc>
        <w:tc>
          <w:tcPr>
            <w:tcW w:w="2693" w:type="dxa"/>
            <w:vAlign w:val="bottom"/>
          </w:tcPr>
          <w:p w:rsidR="00DC0A25" w:rsidRDefault="00DC0A25" w:rsidP="00DC0A25">
            <w:pPr>
              <w:jc w:val="right"/>
              <w:rPr>
                <w:rFonts w:ascii="Calibri" w:hAnsi="Calibri" w:cs="Calibri"/>
                <w:color w:val="000000"/>
              </w:rPr>
            </w:pPr>
            <w:r>
              <w:rPr>
                <w:rFonts w:ascii="Calibri" w:hAnsi="Calibri" w:cs="Calibri"/>
                <w:color w:val="000000"/>
              </w:rPr>
              <w:t>0.981</w:t>
            </w:r>
          </w:p>
        </w:tc>
      </w:tr>
      <w:tr w:rsidR="00DC0A25" w:rsidRPr="00E03F08" w:rsidTr="006C2792">
        <w:trPr>
          <w:trHeight w:val="300"/>
        </w:trPr>
        <w:tc>
          <w:tcPr>
            <w:tcW w:w="2547" w:type="dxa"/>
            <w:noWrap/>
            <w:vAlign w:val="bottom"/>
            <w:hideMark/>
          </w:tcPr>
          <w:p w:rsidR="00DC0A25" w:rsidRDefault="00DC0A25" w:rsidP="00DC0A25">
            <w:pPr>
              <w:jc w:val="right"/>
              <w:rPr>
                <w:rFonts w:ascii="Calibri" w:hAnsi="Calibri" w:cs="Calibri"/>
                <w:color w:val="000000"/>
              </w:rPr>
            </w:pPr>
            <w:r>
              <w:rPr>
                <w:rFonts w:ascii="Calibri" w:hAnsi="Calibri" w:cs="Calibri"/>
                <w:color w:val="000000"/>
              </w:rPr>
              <w:t>0.015</w:t>
            </w:r>
          </w:p>
        </w:tc>
        <w:tc>
          <w:tcPr>
            <w:tcW w:w="2410" w:type="dxa"/>
            <w:vAlign w:val="bottom"/>
          </w:tcPr>
          <w:p w:rsidR="00DC0A25" w:rsidRDefault="00DC0A25" w:rsidP="00DC0A25">
            <w:pPr>
              <w:jc w:val="right"/>
              <w:rPr>
                <w:rFonts w:ascii="Calibri" w:hAnsi="Calibri" w:cs="Calibri"/>
                <w:color w:val="000000"/>
              </w:rPr>
            </w:pPr>
            <w:r>
              <w:rPr>
                <w:rFonts w:ascii="Calibri" w:hAnsi="Calibri" w:cs="Calibri"/>
                <w:color w:val="000000"/>
              </w:rPr>
              <w:t>0.098</w:t>
            </w:r>
          </w:p>
        </w:tc>
        <w:tc>
          <w:tcPr>
            <w:tcW w:w="2693" w:type="dxa"/>
            <w:vAlign w:val="bottom"/>
          </w:tcPr>
          <w:p w:rsidR="00DC0A25" w:rsidRDefault="00DC0A25" w:rsidP="00DC0A25">
            <w:pPr>
              <w:jc w:val="right"/>
              <w:rPr>
                <w:rFonts w:ascii="Calibri" w:hAnsi="Calibri" w:cs="Calibri"/>
                <w:color w:val="000000"/>
              </w:rPr>
            </w:pPr>
            <w:r>
              <w:rPr>
                <w:rFonts w:ascii="Calibri" w:hAnsi="Calibri" w:cs="Calibri"/>
                <w:color w:val="000000"/>
              </w:rPr>
              <w:t>0.96138</w:t>
            </w:r>
          </w:p>
        </w:tc>
      </w:tr>
      <w:tr w:rsidR="00DC0A25" w:rsidRPr="00E03F08" w:rsidTr="006C2792">
        <w:trPr>
          <w:trHeight w:val="300"/>
        </w:trPr>
        <w:tc>
          <w:tcPr>
            <w:tcW w:w="2547" w:type="dxa"/>
            <w:noWrap/>
            <w:vAlign w:val="bottom"/>
            <w:hideMark/>
          </w:tcPr>
          <w:p w:rsidR="00DC0A25" w:rsidRDefault="00DC0A25" w:rsidP="00DC0A25">
            <w:pPr>
              <w:jc w:val="right"/>
              <w:rPr>
                <w:rFonts w:ascii="Calibri" w:hAnsi="Calibri" w:cs="Calibri"/>
                <w:color w:val="000000"/>
              </w:rPr>
            </w:pPr>
            <w:r>
              <w:rPr>
                <w:rFonts w:ascii="Calibri" w:hAnsi="Calibri" w:cs="Calibri"/>
                <w:color w:val="000000"/>
              </w:rPr>
              <w:t>0.004</w:t>
            </w:r>
          </w:p>
        </w:tc>
        <w:tc>
          <w:tcPr>
            <w:tcW w:w="2410" w:type="dxa"/>
            <w:vAlign w:val="bottom"/>
          </w:tcPr>
          <w:p w:rsidR="00DC0A25" w:rsidRDefault="00DC0A25" w:rsidP="00DC0A25">
            <w:pPr>
              <w:jc w:val="right"/>
              <w:rPr>
                <w:rFonts w:ascii="Calibri" w:hAnsi="Calibri" w:cs="Calibri"/>
                <w:color w:val="000000"/>
              </w:rPr>
            </w:pPr>
            <w:r>
              <w:rPr>
                <w:rFonts w:ascii="Calibri" w:hAnsi="Calibri" w:cs="Calibri"/>
                <w:color w:val="000000"/>
              </w:rPr>
              <w:t>0.45</w:t>
            </w:r>
          </w:p>
        </w:tc>
        <w:tc>
          <w:tcPr>
            <w:tcW w:w="2693" w:type="dxa"/>
            <w:vAlign w:val="bottom"/>
          </w:tcPr>
          <w:p w:rsidR="00DC0A25" w:rsidRDefault="00DC0A25" w:rsidP="00DC0A25">
            <w:pPr>
              <w:jc w:val="right"/>
              <w:rPr>
                <w:rFonts w:ascii="Calibri" w:hAnsi="Calibri" w:cs="Calibri"/>
                <w:color w:val="000000"/>
              </w:rPr>
            </w:pPr>
            <w:r>
              <w:rPr>
                <w:rFonts w:ascii="Calibri" w:hAnsi="Calibri" w:cs="Calibri"/>
                <w:color w:val="000000"/>
              </w:rPr>
              <w:t>4.4145</w:t>
            </w:r>
          </w:p>
        </w:tc>
      </w:tr>
    </w:tbl>
    <w:p w:rsidR="00E03F08" w:rsidRDefault="00E03F08" w:rsidP="00E03F08"/>
    <w:p w:rsidR="00DC0A25" w:rsidRDefault="00DC0A25" w:rsidP="00DC0A25">
      <w:pPr>
        <w:jc w:val="both"/>
        <w:rPr>
          <w:sz w:val="20"/>
        </w:rPr>
      </w:pPr>
      <w:r>
        <w:rPr>
          <w:sz w:val="20"/>
        </w:rPr>
        <w:t>Values for the force were calculated with the observed values of mass and the known value of gravity(9.8</w:t>
      </w:r>
      <w:proofErr w:type="gramStart"/>
      <w:r>
        <w:rPr>
          <w:sz w:val="20"/>
        </w:rPr>
        <w:t>m.s</w:t>
      </w:r>
      <w:proofErr w:type="gramEnd"/>
      <w:r>
        <w:rPr>
          <w:sz w:val="20"/>
          <w:vertAlign w:val="superscript"/>
        </w:rPr>
        <w:t>-2</w:t>
      </w:r>
      <w:r>
        <w:rPr>
          <w:sz w:val="20"/>
        </w:rPr>
        <w:t xml:space="preserve">). Take, for example, the calculation of the first data entry </w:t>
      </w:r>
    </w:p>
    <w:p w:rsidR="00DC0A25" w:rsidRPr="00DC0A25" w:rsidRDefault="00DC0A25" w:rsidP="00DC0A25">
      <w:pPr>
        <w:jc w:val="both"/>
        <w:rPr>
          <w:rFonts w:eastAsiaTheme="minorEastAsia"/>
          <w:sz w:val="20"/>
        </w:rPr>
      </w:pPr>
      <m:oMathPara>
        <m:oMath>
          <m:r>
            <w:rPr>
              <w:rFonts w:ascii="Cambria Math" w:hAnsi="Cambria Math"/>
              <w:sz w:val="20"/>
            </w:rPr>
            <m:t>F=ma=</m:t>
          </m:r>
          <m:r>
            <w:rPr>
              <w:rFonts w:ascii="Cambria Math" w:eastAsiaTheme="minorEastAsia" w:hAnsi="Cambria Math"/>
              <w:sz w:val="20"/>
            </w:rPr>
            <m:t>0.002×9.81=0.01962N</m:t>
          </m:r>
        </m:oMath>
      </m:oMathPara>
    </w:p>
    <w:p w:rsidR="00DC0A25" w:rsidRDefault="00DC0A25" w:rsidP="00DC0A25">
      <w:pPr>
        <w:jc w:val="both"/>
        <w:rPr>
          <w:rFonts w:eastAsiaTheme="minorEastAsia"/>
          <w:sz w:val="20"/>
        </w:rPr>
      </w:pPr>
      <w:r>
        <w:rPr>
          <w:rFonts w:eastAsiaTheme="minorEastAsia"/>
          <w:sz w:val="20"/>
        </w:rPr>
        <w:t>As the error in the mass calculation was one one-thousandth of a gram, the error in the force is as follows</w:t>
      </w:r>
    </w:p>
    <w:p w:rsidR="00DC0A25" w:rsidRPr="003F15DF" w:rsidRDefault="003F15DF" w:rsidP="00DC0A25">
      <w:pPr>
        <w:jc w:val="both"/>
        <w:rPr>
          <w:rFonts w:eastAsiaTheme="minorEastAsia"/>
          <w:sz w:val="20"/>
        </w:rPr>
      </w:pPr>
      <m:oMathPara>
        <m:oMath>
          <m:r>
            <w:rPr>
              <w:rFonts w:ascii="Cambria Math" w:hAnsi="Cambria Math"/>
              <w:sz w:val="20"/>
            </w:rPr>
            <m:t>∆F=∆m×g=0.001×9.81=0.00981</m:t>
          </m:r>
        </m:oMath>
      </m:oMathPara>
    </w:p>
    <w:p w:rsidR="003F15DF" w:rsidRDefault="003F15DF" w:rsidP="00DC0A25">
      <w:pPr>
        <w:jc w:val="both"/>
        <w:rPr>
          <w:rFonts w:eastAsiaTheme="minorEastAsia"/>
          <w:sz w:val="20"/>
        </w:rPr>
      </w:pPr>
      <w:proofErr w:type="gramStart"/>
      <w:r>
        <w:rPr>
          <w:rFonts w:eastAsiaTheme="minorEastAsia"/>
          <w:sz w:val="20"/>
        </w:rPr>
        <w:t>In an effort to</w:t>
      </w:r>
      <w:proofErr w:type="gramEnd"/>
      <w:r>
        <w:rPr>
          <w:rFonts w:eastAsiaTheme="minorEastAsia"/>
          <w:sz w:val="20"/>
        </w:rPr>
        <w:t xml:space="preserve"> accurately depict a linear relationship of an inverse square relationship, the values for force and distance were </w:t>
      </w:r>
      <w:r w:rsidR="0081637A">
        <w:rPr>
          <w:rFonts w:eastAsiaTheme="minorEastAsia"/>
          <w:sz w:val="20"/>
        </w:rPr>
        <w:t xml:space="preserve">calculated as natural logarithms, where the original values were multiplied by 1000 each to return positive logarithm values. The new data entries may be seen in table 2. </w:t>
      </w:r>
    </w:p>
    <w:p w:rsidR="0081637A" w:rsidRPr="0081637A" w:rsidRDefault="0081637A" w:rsidP="00DC0A25">
      <w:pPr>
        <w:jc w:val="both"/>
        <w:rPr>
          <w:rFonts w:eastAsiaTheme="minorEastAsia"/>
          <w:b/>
          <w:i/>
          <w:sz w:val="20"/>
        </w:rPr>
      </w:pPr>
      <w:r w:rsidRPr="0081637A">
        <w:rPr>
          <w:rFonts w:eastAsiaTheme="minorEastAsia"/>
          <w:b/>
          <w:i/>
          <w:sz w:val="20"/>
        </w:rPr>
        <w:t>Table 2: Log Data</w:t>
      </w:r>
    </w:p>
    <w:tbl>
      <w:tblPr>
        <w:tblStyle w:val="TableGrid"/>
        <w:tblW w:w="8921" w:type="dxa"/>
        <w:tblLook w:val="04A0" w:firstRow="1" w:lastRow="0" w:firstColumn="1" w:lastColumn="0" w:noHBand="0" w:noVBand="1"/>
      </w:tblPr>
      <w:tblGrid>
        <w:gridCol w:w="2263"/>
        <w:gridCol w:w="2263"/>
        <w:gridCol w:w="2263"/>
        <w:gridCol w:w="2132"/>
      </w:tblGrid>
      <w:tr w:rsidR="0081637A" w:rsidRPr="0081637A" w:rsidTr="00533792">
        <w:trPr>
          <w:trHeight w:val="300"/>
        </w:trPr>
        <w:tc>
          <w:tcPr>
            <w:tcW w:w="2263" w:type="dxa"/>
            <w:vAlign w:val="bottom"/>
          </w:tcPr>
          <w:p w:rsidR="0081637A" w:rsidRDefault="0081637A" w:rsidP="0081637A">
            <w:pPr>
              <w:rPr>
                <w:rFonts w:ascii="Calibri" w:hAnsi="Calibri" w:cs="Calibri"/>
                <w:color w:val="000000"/>
              </w:rPr>
            </w:pPr>
            <w:r>
              <w:rPr>
                <w:rFonts w:ascii="Calibri" w:hAnsi="Calibri" w:cs="Calibri"/>
                <w:color w:val="000000"/>
              </w:rPr>
              <w:t>Distance (m)</w:t>
            </w:r>
          </w:p>
        </w:tc>
        <w:tc>
          <w:tcPr>
            <w:tcW w:w="2263" w:type="dxa"/>
            <w:vAlign w:val="bottom"/>
          </w:tcPr>
          <w:p w:rsidR="0081637A" w:rsidRDefault="0081637A" w:rsidP="0081637A">
            <w:pPr>
              <w:rPr>
                <w:rFonts w:ascii="Calibri" w:hAnsi="Calibri" w:cs="Calibri"/>
                <w:color w:val="000000"/>
              </w:rPr>
            </w:pPr>
            <w:r>
              <w:rPr>
                <w:rFonts w:ascii="Calibri" w:hAnsi="Calibri" w:cs="Calibri"/>
                <w:color w:val="000000"/>
              </w:rPr>
              <w:t>Force (N)</w:t>
            </w:r>
          </w:p>
        </w:tc>
        <w:tc>
          <w:tcPr>
            <w:tcW w:w="2263" w:type="dxa"/>
            <w:noWrap/>
            <w:hideMark/>
          </w:tcPr>
          <w:p w:rsidR="0081637A" w:rsidRPr="0081637A" w:rsidRDefault="0081637A" w:rsidP="0081637A">
            <w:pPr>
              <w:rPr>
                <w:rFonts w:ascii="Calibri" w:eastAsia="Times New Roman" w:hAnsi="Calibri" w:cs="Calibri"/>
                <w:color w:val="000000"/>
                <w:lang w:eastAsia="en-AU"/>
              </w:rPr>
            </w:pPr>
            <w:proofErr w:type="gramStart"/>
            <w:r>
              <w:rPr>
                <w:rFonts w:ascii="Calibri" w:eastAsia="Times New Roman" w:hAnsi="Calibri" w:cs="Calibri"/>
                <w:color w:val="000000"/>
                <w:lang w:eastAsia="en-AU"/>
              </w:rPr>
              <w:t>log</w:t>
            </w:r>
            <w:r>
              <w:rPr>
                <w:rFonts w:ascii="Calibri" w:eastAsia="Times New Roman" w:hAnsi="Calibri" w:cs="Calibri"/>
                <w:color w:val="000000"/>
                <w:vertAlign w:val="subscript"/>
                <w:lang w:eastAsia="en-AU"/>
              </w:rPr>
              <w:t>e</w:t>
            </w:r>
            <w:r>
              <w:rPr>
                <w:rFonts w:ascii="Calibri" w:eastAsia="Times New Roman" w:hAnsi="Calibri" w:cs="Calibri"/>
                <w:color w:val="000000"/>
                <w:lang w:eastAsia="en-AU"/>
              </w:rPr>
              <w:t>(</w:t>
            </w:r>
            <w:proofErr w:type="gramEnd"/>
            <w:r>
              <w:rPr>
                <w:rFonts w:ascii="Calibri" w:eastAsia="Times New Roman" w:hAnsi="Calibri" w:cs="Calibri"/>
                <w:color w:val="000000"/>
                <w:lang w:eastAsia="en-AU"/>
              </w:rPr>
              <w:t>Distance x 1000)</w:t>
            </w:r>
          </w:p>
        </w:tc>
        <w:tc>
          <w:tcPr>
            <w:tcW w:w="2132" w:type="dxa"/>
            <w:noWrap/>
            <w:hideMark/>
          </w:tcPr>
          <w:p w:rsidR="0081637A" w:rsidRPr="0081637A" w:rsidRDefault="0081637A" w:rsidP="0081637A">
            <w:pPr>
              <w:rPr>
                <w:rFonts w:ascii="Calibri" w:eastAsia="Times New Roman" w:hAnsi="Calibri" w:cs="Calibri"/>
                <w:color w:val="000000"/>
                <w:lang w:eastAsia="en-AU"/>
              </w:rPr>
            </w:pPr>
            <w:proofErr w:type="gramStart"/>
            <w:r>
              <w:rPr>
                <w:rFonts w:ascii="Calibri" w:eastAsia="Times New Roman" w:hAnsi="Calibri" w:cs="Calibri"/>
                <w:color w:val="000000"/>
                <w:lang w:eastAsia="en-AU"/>
              </w:rPr>
              <w:t>log</w:t>
            </w:r>
            <w:r>
              <w:rPr>
                <w:rFonts w:ascii="Calibri" w:eastAsia="Times New Roman" w:hAnsi="Calibri" w:cs="Calibri"/>
                <w:color w:val="000000"/>
                <w:vertAlign w:val="subscript"/>
                <w:lang w:eastAsia="en-AU"/>
              </w:rPr>
              <w:t>e</w:t>
            </w:r>
            <w:r>
              <w:rPr>
                <w:rFonts w:ascii="Calibri" w:eastAsia="Times New Roman" w:hAnsi="Calibri" w:cs="Calibri"/>
                <w:color w:val="000000"/>
                <w:lang w:eastAsia="en-AU"/>
              </w:rPr>
              <w:t>(</w:t>
            </w:r>
            <w:proofErr w:type="gramEnd"/>
            <w:r>
              <w:rPr>
                <w:rFonts w:ascii="Calibri" w:eastAsia="Times New Roman" w:hAnsi="Calibri" w:cs="Calibri"/>
                <w:color w:val="000000"/>
                <w:lang w:eastAsia="en-AU"/>
              </w:rPr>
              <w:t>Force x 1000)</w:t>
            </w:r>
          </w:p>
        </w:tc>
      </w:tr>
      <w:tr w:rsidR="0081637A" w:rsidRPr="0081637A" w:rsidTr="00533792">
        <w:trPr>
          <w:trHeight w:val="300"/>
        </w:trPr>
        <w:tc>
          <w:tcPr>
            <w:tcW w:w="2263" w:type="dxa"/>
            <w:vAlign w:val="bottom"/>
          </w:tcPr>
          <w:p w:rsidR="0081637A" w:rsidRDefault="0081637A" w:rsidP="0081637A">
            <w:pPr>
              <w:jc w:val="right"/>
              <w:rPr>
                <w:rFonts w:ascii="Calibri" w:hAnsi="Calibri" w:cs="Calibri"/>
                <w:color w:val="000000"/>
              </w:rPr>
            </w:pPr>
            <w:r>
              <w:rPr>
                <w:rFonts w:ascii="Calibri" w:hAnsi="Calibri" w:cs="Calibri"/>
                <w:color w:val="000000"/>
              </w:rPr>
              <w:t>0.094</w:t>
            </w:r>
          </w:p>
        </w:tc>
        <w:tc>
          <w:tcPr>
            <w:tcW w:w="2263" w:type="dxa"/>
            <w:vAlign w:val="bottom"/>
          </w:tcPr>
          <w:p w:rsidR="0081637A" w:rsidRDefault="0081637A" w:rsidP="0081637A">
            <w:pPr>
              <w:jc w:val="right"/>
              <w:rPr>
                <w:rFonts w:ascii="Calibri" w:hAnsi="Calibri" w:cs="Calibri"/>
                <w:color w:val="000000"/>
              </w:rPr>
            </w:pPr>
            <w:r>
              <w:rPr>
                <w:rFonts w:ascii="Calibri" w:hAnsi="Calibri" w:cs="Calibri"/>
                <w:color w:val="000000"/>
              </w:rPr>
              <w:t>0.01962</w:t>
            </w:r>
          </w:p>
        </w:tc>
        <w:tc>
          <w:tcPr>
            <w:tcW w:w="2263" w:type="dxa"/>
            <w:noWrap/>
            <w:hideMark/>
          </w:tcPr>
          <w:p w:rsidR="0081637A" w:rsidRPr="0081637A" w:rsidRDefault="0081637A" w:rsidP="0081637A">
            <w:pPr>
              <w:jc w:val="right"/>
              <w:rPr>
                <w:rFonts w:ascii="Calibri" w:eastAsia="Times New Roman" w:hAnsi="Calibri" w:cs="Calibri"/>
                <w:color w:val="000000"/>
                <w:lang w:eastAsia="en-AU"/>
              </w:rPr>
            </w:pPr>
            <w:r w:rsidRPr="0081637A">
              <w:rPr>
                <w:rFonts w:ascii="Calibri" w:eastAsia="Times New Roman" w:hAnsi="Calibri" w:cs="Calibri"/>
                <w:color w:val="000000"/>
                <w:lang w:eastAsia="en-AU"/>
              </w:rPr>
              <w:t>4.543294782</w:t>
            </w:r>
          </w:p>
        </w:tc>
        <w:tc>
          <w:tcPr>
            <w:tcW w:w="2132" w:type="dxa"/>
            <w:noWrap/>
            <w:hideMark/>
          </w:tcPr>
          <w:p w:rsidR="0081637A" w:rsidRPr="0081637A" w:rsidRDefault="0081637A" w:rsidP="0081637A">
            <w:pPr>
              <w:jc w:val="right"/>
              <w:rPr>
                <w:rFonts w:ascii="Calibri" w:eastAsia="Times New Roman" w:hAnsi="Calibri" w:cs="Calibri"/>
                <w:color w:val="000000"/>
                <w:lang w:eastAsia="en-AU"/>
              </w:rPr>
            </w:pPr>
            <w:r w:rsidRPr="0081637A">
              <w:rPr>
                <w:rFonts w:ascii="Calibri" w:eastAsia="Times New Roman" w:hAnsi="Calibri" w:cs="Calibri"/>
                <w:color w:val="000000"/>
                <w:lang w:eastAsia="en-AU"/>
              </w:rPr>
              <w:t>2.976549454</w:t>
            </w:r>
          </w:p>
        </w:tc>
      </w:tr>
      <w:tr w:rsidR="0081637A" w:rsidRPr="0081637A" w:rsidTr="00533792">
        <w:trPr>
          <w:trHeight w:val="300"/>
        </w:trPr>
        <w:tc>
          <w:tcPr>
            <w:tcW w:w="2263" w:type="dxa"/>
            <w:vAlign w:val="bottom"/>
          </w:tcPr>
          <w:p w:rsidR="0081637A" w:rsidRDefault="0081637A" w:rsidP="0081637A">
            <w:pPr>
              <w:jc w:val="right"/>
              <w:rPr>
                <w:rFonts w:ascii="Calibri" w:hAnsi="Calibri" w:cs="Calibri"/>
                <w:color w:val="000000"/>
              </w:rPr>
            </w:pPr>
            <w:r>
              <w:rPr>
                <w:rFonts w:ascii="Calibri" w:hAnsi="Calibri" w:cs="Calibri"/>
                <w:color w:val="000000"/>
              </w:rPr>
              <w:t>0.092</w:t>
            </w:r>
          </w:p>
        </w:tc>
        <w:tc>
          <w:tcPr>
            <w:tcW w:w="2263" w:type="dxa"/>
            <w:vAlign w:val="bottom"/>
          </w:tcPr>
          <w:p w:rsidR="0081637A" w:rsidRDefault="0081637A" w:rsidP="0081637A">
            <w:pPr>
              <w:jc w:val="right"/>
              <w:rPr>
                <w:rFonts w:ascii="Calibri" w:hAnsi="Calibri" w:cs="Calibri"/>
                <w:color w:val="000000"/>
              </w:rPr>
            </w:pPr>
            <w:r>
              <w:rPr>
                <w:rFonts w:ascii="Calibri" w:hAnsi="Calibri" w:cs="Calibri"/>
                <w:color w:val="000000"/>
              </w:rPr>
              <w:t>0.03924</w:t>
            </w:r>
          </w:p>
        </w:tc>
        <w:tc>
          <w:tcPr>
            <w:tcW w:w="2263" w:type="dxa"/>
            <w:noWrap/>
            <w:hideMark/>
          </w:tcPr>
          <w:p w:rsidR="0081637A" w:rsidRPr="0081637A" w:rsidRDefault="0081637A" w:rsidP="0081637A">
            <w:pPr>
              <w:jc w:val="right"/>
              <w:rPr>
                <w:rFonts w:ascii="Calibri" w:eastAsia="Times New Roman" w:hAnsi="Calibri" w:cs="Calibri"/>
                <w:color w:val="000000"/>
                <w:lang w:eastAsia="en-AU"/>
              </w:rPr>
            </w:pPr>
            <w:r w:rsidRPr="0081637A">
              <w:rPr>
                <w:rFonts w:ascii="Calibri" w:eastAsia="Times New Roman" w:hAnsi="Calibri" w:cs="Calibri"/>
                <w:color w:val="000000"/>
                <w:lang w:eastAsia="en-AU"/>
              </w:rPr>
              <w:t>4.521788577</w:t>
            </w:r>
          </w:p>
        </w:tc>
        <w:tc>
          <w:tcPr>
            <w:tcW w:w="2132" w:type="dxa"/>
            <w:noWrap/>
            <w:hideMark/>
          </w:tcPr>
          <w:p w:rsidR="0081637A" w:rsidRPr="0081637A" w:rsidRDefault="0081637A" w:rsidP="0081637A">
            <w:pPr>
              <w:jc w:val="right"/>
              <w:rPr>
                <w:rFonts w:ascii="Calibri" w:eastAsia="Times New Roman" w:hAnsi="Calibri" w:cs="Calibri"/>
                <w:color w:val="000000"/>
                <w:lang w:eastAsia="en-AU"/>
              </w:rPr>
            </w:pPr>
            <w:r w:rsidRPr="0081637A">
              <w:rPr>
                <w:rFonts w:ascii="Calibri" w:eastAsia="Times New Roman" w:hAnsi="Calibri" w:cs="Calibri"/>
                <w:color w:val="000000"/>
                <w:lang w:eastAsia="en-AU"/>
              </w:rPr>
              <w:t>3.669696635</w:t>
            </w:r>
          </w:p>
        </w:tc>
      </w:tr>
      <w:tr w:rsidR="0081637A" w:rsidRPr="0081637A" w:rsidTr="00533792">
        <w:trPr>
          <w:trHeight w:val="300"/>
        </w:trPr>
        <w:tc>
          <w:tcPr>
            <w:tcW w:w="2263" w:type="dxa"/>
            <w:vAlign w:val="bottom"/>
          </w:tcPr>
          <w:p w:rsidR="0081637A" w:rsidRDefault="0081637A" w:rsidP="0081637A">
            <w:pPr>
              <w:jc w:val="right"/>
              <w:rPr>
                <w:rFonts w:ascii="Calibri" w:hAnsi="Calibri" w:cs="Calibri"/>
                <w:color w:val="000000"/>
              </w:rPr>
            </w:pPr>
            <w:r>
              <w:rPr>
                <w:rFonts w:ascii="Calibri" w:hAnsi="Calibri" w:cs="Calibri"/>
                <w:color w:val="000000"/>
              </w:rPr>
              <w:t>0.078</w:t>
            </w:r>
          </w:p>
        </w:tc>
        <w:tc>
          <w:tcPr>
            <w:tcW w:w="2263" w:type="dxa"/>
            <w:vAlign w:val="bottom"/>
          </w:tcPr>
          <w:p w:rsidR="0081637A" w:rsidRDefault="0081637A" w:rsidP="0081637A">
            <w:pPr>
              <w:jc w:val="right"/>
              <w:rPr>
                <w:rFonts w:ascii="Calibri" w:hAnsi="Calibri" w:cs="Calibri"/>
                <w:color w:val="000000"/>
              </w:rPr>
            </w:pPr>
            <w:r>
              <w:rPr>
                <w:rFonts w:ascii="Calibri" w:hAnsi="Calibri" w:cs="Calibri"/>
                <w:color w:val="000000"/>
              </w:rPr>
              <w:t>0.11772</w:t>
            </w:r>
          </w:p>
        </w:tc>
        <w:tc>
          <w:tcPr>
            <w:tcW w:w="2263" w:type="dxa"/>
            <w:noWrap/>
            <w:hideMark/>
          </w:tcPr>
          <w:p w:rsidR="0081637A" w:rsidRPr="0081637A" w:rsidRDefault="0081637A" w:rsidP="0081637A">
            <w:pPr>
              <w:jc w:val="right"/>
              <w:rPr>
                <w:rFonts w:ascii="Calibri" w:eastAsia="Times New Roman" w:hAnsi="Calibri" w:cs="Calibri"/>
                <w:color w:val="000000"/>
                <w:lang w:eastAsia="en-AU"/>
              </w:rPr>
            </w:pPr>
            <w:r w:rsidRPr="0081637A">
              <w:rPr>
                <w:rFonts w:ascii="Calibri" w:eastAsia="Times New Roman" w:hAnsi="Calibri" w:cs="Calibri"/>
                <w:color w:val="000000"/>
                <w:lang w:eastAsia="en-AU"/>
              </w:rPr>
              <w:t>4.356708827</w:t>
            </w:r>
          </w:p>
        </w:tc>
        <w:tc>
          <w:tcPr>
            <w:tcW w:w="2132" w:type="dxa"/>
            <w:noWrap/>
            <w:hideMark/>
          </w:tcPr>
          <w:p w:rsidR="0081637A" w:rsidRPr="0081637A" w:rsidRDefault="0081637A" w:rsidP="0081637A">
            <w:pPr>
              <w:jc w:val="right"/>
              <w:rPr>
                <w:rFonts w:ascii="Calibri" w:eastAsia="Times New Roman" w:hAnsi="Calibri" w:cs="Calibri"/>
                <w:color w:val="000000"/>
                <w:lang w:eastAsia="en-AU"/>
              </w:rPr>
            </w:pPr>
            <w:r w:rsidRPr="0081637A">
              <w:rPr>
                <w:rFonts w:ascii="Calibri" w:eastAsia="Times New Roman" w:hAnsi="Calibri" w:cs="Calibri"/>
                <w:color w:val="000000"/>
                <w:lang w:eastAsia="en-AU"/>
              </w:rPr>
              <w:t>4.768308923</w:t>
            </w:r>
          </w:p>
        </w:tc>
      </w:tr>
      <w:tr w:rsidR="0081637A" w:rsidRPr="0081637A" w:rsidTr="00533792">
        <w:trPr>
          <w:trHeight w:val="300"/>
        </w:trPr>
        <w:tc>
          <w:tcPr>
            <w:tcW w:w="2263" w:type="dxa"/>
            <w:vAlign w:val="bottom"/>
          </w:tcPr>
          <w:p w:rsidR="0081637A" w:rsidRDefault="0081637A" w:rsidP="0081637A">
            <w:pPr>
              <w:jc w:val="right"/>
              <w:rPr>
                <w:rFonts w:ascii="Calibri" w:hAnsi="Calibri" w:cs="Calibri"/>
                <w:color w:val="000000"/>
              </w:rPr>
            </w:pPr>
            <w:r>
              <w:rPr>
                <w:rFonts w:ascii="Calibri" w:hAnsi="Calibri" w:cs="Calibri"/>
                <w:color w:val="000000"/>
              </w:rPr>
              <w:t>0.067</w:t>
            </w:r>
          </w:p>
        </w:tc>
        <w:tc>
          <w:tcPr>
            <w:tcW w:w="2263" w:type="dxa"/>
            <w:vAlign w:val="bottom"/>
          </w:tcPr>
          <w:p w:rsidR="0081637A" w:rsidRDefault="0081637A" w:rsidP="0081637A">
            <w:pPr>
              <w:jc w:val="right"/>
              <w:rPr>
                <w:rFonts w:ascii="Calibri" w:hAnsi="Calibri" w:cs="Calibri"/>
                <w:color w:val="000000"/>
              </w:rPr>
            </w:pPr>
            <w:r>
              <w:rPr>
                <w:rFonts w:ascii="Calibri" w:hAnsi="Calibri" w:cs="Calibri"/>
                <w:color w:val="000000"/>
              </w:rPr>
              <w:t>0.01962</w:t>
            </w:r>
          </w:p>
        </w:tc>
        <w:tc>
          <w:tcPr>
            <w:tcW w:w="2263" w:type="dxa"/>
            <w:noWrap/>
            <w:hideMark/>
          </w:tcPr>
          <w:p w:rsidR="0081637A" w:rsidRPr="0081637A" w:rsidRDefault="0081637A" w:rsidP="0081637A">
            <w:pPr>
              <w:jc w:val="right"/>
              <w:rPr>
                <w:rFonts w:ascii="Calibri" w:eastAsia="Times New Roman" w:hAnsi="Calibri" w:cs="Calibri"/>
                <w:color w:val="000000"/>
                <w:lang w:eastAsia="en-AU"/>
              </w:rPr>
            </w:pPr>
            <w:r w:rsidRPr="0081637A">
              <w:rPr>
                <w:rFonts w:ascii="Calibri" w:eastAsia="Times New Roman" w:hAnsi="Calibri" w:cs="Calibri"/>
                <w:color w:val="000000"/>
                <w:lang w:eastAsia="en-AU"/>
              </w:rPr>
              <w:t>4.204692619</w:t>
            </w:r>
          </w:p>
        </w:tc>
        <w:tc>
          <w:tcPr>
            <w:tcW w:w="2132" w:type="dxa"/>
            <w:noWrap/>
            <w:hideMark/>
          </w:tcPr>
          <w:p w:rsidR="0081637A" w:rsidRPr="0081637A" w:rsidRDefault="0081637A" w:rsidP="0081637A">
            <w:pPr>
              <w:jc w:val="right"/>
              <w:rPr>
                <w:rFonts w:ascii="Calibri" w:eastAsia="Times New Roman" w:hAnsi="Calibri" w:cs="Calibri"/>
                <w:color w:val="000000"/>
                <w:lang w:eastAsia="en-AU"/>
              </w:rPr>
            </w:pPr>
            <w:r w:rsidRPr="0081637A">
              <w:rPr>
                <w:rFonts w:ascii="Calibri" w:eastAsia="Times New Roman" w:hAnsi="Calibri" w:cs="Calibri"/>
                <w:color w:val="000000"/>
                <w:lang w:eastAsia="en-AU"/>
              </w:rPr>
              <w:t>2.976549454</w:t>
            </w:r>
          </w:p>
        </w:tc>
      </w:tr>
      <w:tr w:rsidR="0081637A" w:rsidRPr="0081637A" w:rsidTr="00533792">
        <w:trPr>
          <w:trHeight w:val="300"/>
        </w:trPr>
        <w:tc>
          <w:tcPr>
            <w:tcW w:w="2263" w:type="dxa"/>
            <w:vAlign w:val="bottom"/>
          </w:tcPr>
          <w:p w:rsidR="0081637A" w:rsidRDefault="0081637A" w:rsidP="0081637A">
            <w:pPr>
              <w:jc w:val="right"/>
              <w:rPr>
                <w:rFonts w:ascii="Calibri" w:hAnsi="Calibri" w:cs="Calibri"/>
                <w:color w:val="000000"/>
              </w:rPr>
            </w:pPr>
            <w:r>
              <w:rPr>
                <w:rFonts w:ascii="Calibri" w:hAnsi="Calibri" w:cs="Calibri"/>
                <w:color w:val="000000"/>
              </w:rPr>
              <w:t>0.045</w:t>
            </w:r>
          </w:p>
        </w:tc>
        <w:tc>
          <w:tcPr>
            <w:tcW w:w="2263" w:type="dxa"/>
            <w:vAlign w:val="bottom"/>
          </w:tcPr>
          <w:p w:rsidR="0081637A" w:rsidRDefault="0081637A" w:rsidP="0081637A">
            <w:pPr>
              <w:jc w:val="right"/>
              <w:rPr>
                <w:rFonts w:ascii="Calibri" w:hAnsi="Calibri" w:cs="Calibri"/>
                <w:color w:val="000000"/>
              </w:rPr>
            </w:pPr>
            <w:r>
              <w:rPr>
                <w:rFonts w:ascii="Calibri" w:hAnsi="Calibri" w:cs="Calibri"/>
                <w:color w:val="000000"/>
              </w:rPr>
              <w:t>0.51993</w:t>
            </w:r>
          </w:p>
        </w:tc>
        <w:tc>
          <w:tcPr>
            <w:tcW w:w="2263" w:type="dxa"/>
            <w:noWrap/>
            <w:hideMark/>
          </w:tcPr>
          <w:p w:rsidR="0081637A" w:rsidRPr="0081637A" w:rsidRDefault="0081637A" w:rsidP="0081637A">
            <w:pPr>
              <w:jc w:val="right"/>
              <w:rPr>
                <w:rFonts w:ascii="Calibri" w:eastAsia="Times New Roman" w:hAnsi="Calibri" w:cs="Calibri"/>
                <w:color w:val="000000"/>
                <w:lang w:eastAsia="en-AU"/>
              </w:rPr>
            </w:pPr>
            <w:r w:rsidRPr="0081637A">
              <w:rPr>
                <w:rFonts w:ascii="Calibri" w:eastAsia="Times New Roman" w:hAnsi="Calibri" w:cs="Calibri"/>
                <w:color w:val="000000"/>
                <w:lang w:eastAsia="en-AU"/>
              </w:rPr>
              <w:t>3.80666249</w:t>
            </w:r>
          </w:p>
        </w:tc>
        <w:tc>
          <w:tcPr>
            <w:tcW w:w="2132" w:type="dxa"/>
            <w:noWrap/>
            <w:hideMark/>
          </w:tcPr>
          <w:p w:rsidR="0081637A" w:rsidRPr="0081637A" w:rsidRDefault="0081637A" w:rsidP="0081637A">
            <w:pPr>
              <w:jc w:val="right"/>
              <w:rPr>
                <w:rFonts w:ascii="Calibri" w:eastAsia="Times New Roman" w:hAnsi="Calibri" w:cs="Calibri"/>
                <w:color w:val="000000"/>
                <w:lang w:eastAsia="en-AU"/>
              </w:rPr>
            </w:pPr>
            <w:r w:rsidRPr="0081637A">
              <w:rPr>
                <w:rFonts w:ascii="Calibri" w:eastAsia="Times New Roman" w:hAnsi="Calibri" w:cs="Calibri"/>
                <w:color w:val="000000"/>
                <w:lang w:eastAsia="en-AU"/>
              </w:rPr>
              <w:t>6.253694187</w:t>
            </w:r>
          </w:p>
        </w:tc>
      </w:tr>
      <w:tr w:rsidR="0081637A" w:rsidRPr="0081637A" w:rsidTr="00533792">
        <w:trPr>
          <w:trHeight w:val="300"/>
        </w:trPr>
        <w:tc>
          <w:tcPr>
            <w:tcW w:w="2263" w:type="dxa"/>
            <w:vAlign w:val="bottom"/>
          </w:tcPr>
          <w:p w:rsidR="0081637A" w:rsidRDefault="0081637A" w:rsidP="0081637A">
            <w:pPr>
              <w:jc w:val="right"/>
              <w:rPr>
                <w:rFonts w:ascii="Calibri" w:hAnsi="Calibri" w:cs="Calibri"/>
                <w:color w:val="000000"/>
              </w:rPr>
            </w:pPr>
            <w:r>
              <w:rPr>
                <w:rFonts w:ascii="Calibri" w:hAnsi="Calibri" w:cs="Calibri"/>
                <w:color w:val="000000"/>
              </w:rPr>
              <w:t>0.038</w:t>
            </w:r>
          </w:p>
        </w:tc>
        <w:tc>
          <w:tcPr>
            <w:tcW w:w="2263" w:type="dxa"/>
            <w:vAlign w:val="bottom"/>
          </w:tcPr>
          <w:p w:rsidR="0081637A" w:rsidRDefault="0081637A" w:rsidP="0081637A">
            <w:pPr>
              <w:jc w:val="right"/>
              <w:rPr>
                <w:rFonts w:ascii="Calibri" w:hAnsi="Calibri" w:cs="Calibri"/>
                <w:color w:val="000000"/>
              </w:rPr>
            </w:pPr>
            <w:r>
              <w:rPr>
                <w:rFonts w:ascii="Calibri" w:hAnsi="Calibri" w:cs="Calibri"/>
                <w:color w:val="000000"/>
              </w:rPr>
              <w:t>0.51993</w:t>
            </w:r>
          </w:p>
        </w:tc>
        <w:tc>
          <w:tcPr>
            <w:tcW w:w="2263" w:type="dxa"/>
            <w:noWrap/>
            <w:hideMark/>
          </w:tcPr>
          <w:p w:rsidR="0081637A" w:rsidRPr="0081637A" w:rsidRDefault="0081637A" w:rsidP="0081637A">
            <w:pPr>
              <w:jc w:val="right"/>
              <w:rPr>
                <w:rFonts w:ascii="Calibri" w:eastAsia="Times New Roman" w:hAnsi="Calibri" w:cs="Calibri"/>
                <w:color w:val="000000"/>
                <w:lang w:eastAsia="en-AU"/>
              </w:rPr>
            </w:pPr>
            <w:r w:rsidRPr="0081637A">
              <w:rPr>
                <w:rFonts w:ascii="Calibri" w:eastAsia="Times New Roman" w:hAnsi="Calibri" w:cs="Calibri"/>
                <w:color w:val="000000"/>
                <w:lang w:eastAsia="en-AU"/>
              </w:rPr>
              <w:t>3.63758616</w:t>
            </w:r>
          </w:p>
        </w:tc>
        <w:tc>
          <w:tcPr>
            <w:tcW w:w="2132" w:type="dxa"/>
            <w:noWrap/>
            <w:hideMark/>
          </w:tcPr>
          <w:p w:rsidR="0081637A" w:rsidRPr="0081637A" w:rsidRDefault="0081637A" w:rsidP="0081637A">
            <w:pPr>
              <w:jc w:val="right"/>
              <w:rPr>
                <w:rFonts w:ascii="Calibri" w:eastAsia="Times New Roman" w:hAnsi="Calibri" w:cs="Calibri"/>
                <w:color w:val="000000"/>
                <w:lang w:eastAsia="en-AU"/>
              </w:rPr>
            </w:pPr>
            <w:r w:rsidRPr="0081637A">
              <w:rPr>
                <w:rFonts w:ascii="Calibri" w:eastAsia="Times New Roman" w:hAnsi="Calibri" w:cs="Calibri"/>
                <w:color w:val="000000"/>
                <w:lang w:eastAsia="en-AU"/>
              </w:rPr>
              <w:t>6.253694187</w:t>
            </w:r>
          </w:p>
        </w:tc>
      </w:tr>
      <w:tr w:rsidR="0081637A" w:rsidRPr="0081637A" w:rsidTr="00533792">
        <w:trPr>
          <w:trHeight w:val="300"/>
        </w:trPr>
        <w:tc>
          <w:tcPr>
            <w:tcW w:w="2263" w:type="dxa"/>
            <w:vAlign w:val="bottom"/>
          </w:tcPr>
          <w:p w:rsidR="0081637A" w:rsidRDefault="0081637A" w:rsidP="0081637A">
            <w:pPr>
              <w:jc w:val="right"/>
              <w:rPr>
                <w:rFonts w:ascii="Calibri" w:hAnsi="Calibri" w:cs="Calibri"/>
                <w:color w:val="000000"/>
              </w:rPr>
            </w:pPr>
            <w:r>
              <w:rPr>
                <w:rFonts w:ascii="Calibri" w:hAnsi="Calibri" w:cs="Calibri"/>
                <w:color w:val="000000"/>
              </w:rPr>
              <w:t>0.016</w:t>
            </w:r>
          </w:p>
        </w:tc>
        <w:tc>
          <w:tcPr>
            <w:tcW w:w="2263" w:type="dxa"/>
            <w:vAlign w:val="bottom"/>
          </w:tcPr>
          <w:p w:rsidR="0081637A" w:rsidRDefault="0081637A" w:rsidP="0081637A">
            <w:pPr>
              <w:jc w:val="right"/>
              <w:rPr>
                <w:rFonts w:ascii="Calibri" w:hAnsi="Calibri" w:cs="Calibri"/>
                <w:color w:val="000000"/>
              </w:rPr>
            </w:pPr>
            <w:r>
              <w:rPr>
                <w:rFonts w:ascii="Calibri" w:hAnsi="Calibri" w:cs="Calibri"/>
                <w:color w:val="000000"/>
              </w:rPr>
              <w:t>0.981</w:t>
            </w:r>
          </w:p>
        </w:tc>
        <w:tc>
          <w:tcPr>
            <w:tcW w:w="2263" w:type="dxa"/>
            <w:noWrap/>
            <w:hideMark/>
          </w:tcPr>
          <w:p w:rsidR="0081637A" w:rsidRPr="0081637A" w:rsidRDefault="0081637A" w:rsidP="0081637A">
            <w:pPr>
              <w:jc w:val="right"/>
              <w:rPr>
                <w:rFonts w:ascii="Calibri" w:eastAsia="Times New Roman" w:hAnsi="Calibri" w:cs="Calibri"/>
                <w:color w:val="000000"/>
                <w:lang w:eastAsia="en-AU"/>
              </w:rPr>
            </w:pPr>
            <w:r w:rsidRPr="0081637A">
              <w:rPr>
                <w:rFonts w:ascii="Calibri" w:eastAsia="Times New Roman" w:hAnsi="Calibri" w:cs="Calibri"/>
                <w:color w:val="000000"/>
                <w:lang w:eastAsia="en-AU"/>
              </w:rPr>
              <w:t>2.772588722</w:t>
            </w:r>
          </w:p>
        </w:tc>
        <w:tc>
          <w:tcPr>
            <w:tcW w:w="2132" w:type="dxa"/>
            <w:noWrap/>
            <w:hideMark/>
          </w:tcPr>
          <w:p w:rsidR="0081637A" w:rsidRPr="0081637A" w:rsidRDefault="0081637A" w:rsidP="0081637A">
            <w:pPr>
              <w:jc w:val="right"/>
              <w:rPr>
                <w:rFonts w:ascii="Calibri" w:eastAsia="Times New Roman" w:hAnsi="Calibri" w:cs="Calibri"/>
                <w:color w:val="000000"/>
                <w:lang w:eastAsia="en-AU"/>
              </w:rPr>
            </w:pPr>
            <w:r w:rsidRPr="0081637A">
              <w:rPr>
                <w:rFonts w:ascii="Calibri" w:eastAsia="Times New Roman" w:hAnsi="Calibri" w:cs="Calibri"/>
                <w:color w:val="000000"/>
                <w:lang w:eastAsia="en-AU"/>
              </w:rPr>
              <w:t>6.88857246</w:t>
            </w:r>
          </w:p>
        </w:tc>
      </w:tr>
      <w:tr w:rsidR="0081637A" w:rsidRPr="0081637A" w:rsidTr="00533792">
        <w:trPr>
          <w:trHeight w:val="300"/>
        </w:trPr>
        <w:tc>
          <w:tcPr>
            <w:tcW w:w="2263" w:type="dxa"/>
            <w:vAlign w:val="bottom"/>
          </w:tcPr>
          <w:p w:rsidR="0081637A" w:rsidRDefault="0081637A" w:rsidP="0081637A">
            <w:pPr>
              <w:jc w:val="right"/>
              <w:rPr>
                <w:rFonts w:ascii="Calibri" w:hAnsi="Calibri" w:cs="Calibri"/>
                <w:color w:val="000000"/>
              </w:rPr>
            </w:pPr>
            <w:r>
              <w:rPr>
                <w:rFonts w:ascii="Calibri" w:hAnsi="Calibri" w:cs="Calibri"/>
                <w:color w:val="000000"/>
              </w:rPr>
              <w:t>0.015</w:t>
            </w:r>
          </w:p>
        </w:tc>
        <w:tc>
          <w:tcPr>
            <w:tcW w:w="2263" w:type="dxa"/>
            <w:vAlign w:val="bottom"/>
          </w:tcPr>
          <w:p w:rsidR="0081637A" w:rsidRDefault="0081637A" w:rsidP="0081637A">
            <w:pPr>
              <w:jc w:val="right"/>
              <w:rPr>
                <w:rFonts w:ascii="Calibri" w:hAnsi="Calibri" w:cs="Calibri"/>
                <w:color w:val="000000"/>
              </w:rPr>
            </w:pPr>
            <w:r>
              <w:rPr>
                <w:rFonts w:ascii="Calibri" w:hAnsi="Calibri" w:cs="Calibri"/>
                <w:color w:val="000000"/>
              </w:rPr>
              <w:t>0.96138</w:t>
            </w:r>
          </w:p>
        </w:tc>
        <w:tc>
          <w:tcPr>
            <w:tcW w:w="2263" w:type="dxa"/>
            <w:noWrap/>
            <w:hideMark/>
          </w:tcPr>
          <w:p w:rsidR="0081637A" w:rsidRPr="0081637A" w:rsidRDefault="0081637A" w:rsidP="0081637A">
            <w:pPr>
              <w:jc w:val="right"/>
              <w:rPr>
                <w:rFonts w:ascii="Calibri" w:eastAsia="Times New Roman" w:hAnsi="Calibri" w:cs="Calibri"/>
                <w:color w:val="000000"/>
                <w:lang w:eastAsia="en-AU"/>
              </w:rPr>
            </w:pPr>
            <w:r w:rsidRPr="0081637A">
              <w:rPr>
                <w:rFonts w:ascii="Calibri" w:eastAsia="Times New Roman" w:hAnsi="Calibri" w:cs="Calibri"/>
                <w:color w:val="000000"/>
                <w:lang w:eastAsia="en-AU"/>
              </w:rPr>
              <w:t>2.708050201</w:t>
            </w:r>
          </w:p>
        </w:tc>
        <w:tc>
          <w:tcPr>
            <w:tcW w:w="2132" w:type="dxa"/>
            <w:noWrap/>
            <w:hideMark/>
          </w:tcPr>
          <w:p w:rsidR="0081637A" w:rsidRPr="0081637A" w:rsidRDefault="0081637A" w:rsidP="0081637A">
            <w:pPr>
              <w:jc w:val="right"/>
              <w:rPr>
                <w:rFonts w:ascii="Calibri" w:eastAsia="Times New Roman" w:hAnsi="Calibri" w:cs="Calibri"/>
                <w:color w:val="000000"/>
                <w:lang w:eastAsia="en-AU"/>
              </w:rPr>
            </w:pPr>
            <w:r w:rsidRPr="0081637A">
              <w:rPr>
                <w:rFonts w:ascii="Calibri" w:eastAsia="Times New Roman" w:hAnsi="Calibri" w:cs="Calibri"/>
                <w:color w:val="000000"/>
                <w:lang w:eastAsia="en-AU"/>
              </w:rPr>
              <w:t>6.868369752</w:t>
            </w:r>
          </w:p>
        </w:tc>
      </w:tr>
      <w:tr w:rsidR="0081637A" w:rsidRPr="0081637A" w:rsidTr="00533792">
        <w:trPr>
          <w:trHeight w:val="300"/>
        </w:trPr>
        <w:tc>
          <w:tcPr>
            <w:tcW w:w="2263" w:type="dxa"/>
            <w:vAlign w:val="bottom"/>
          </w:tcPr>
          <w:p w:rsidR="0081637A" w:rsidRDefault="0081637A" w:rsidP="0081637A">
            <w:pPr>
              <w:jc w:val="right"/>
              <w:rPr>
                <w:rFonts w:ascii="Calibri" w:hAnsi="Calibri" w:cs="Calibri"/>
                <w:color w:val="000000"/>
              </w:rPr>
            </w:pPr>
            <w:r>
              <w:rPr>
                <w:rFonts w:ascii="Calibri" w:hAnsi="Calibri" w:cs="Calibri"/>
                <w:color w:val="000000"/>
              </w:rPr>
              <w:t>0.004</w:t>
            </w:r>
          </w:p>
        </w:tc>
        <w:tc>
          <w:tcPr>
            <w:tcW w:w="2263" w:type="dxa"/>
            <w:vAlign w:val="bottom"/>
          </w:tcPr>
          <w:p w:rsidR="0081637A" w:rsidRDefault="0081637A" w:rsidP="0081637A">
            <w:pPr>
              <w:jc w:val="right"/>
              <w:rPr>
                <w:rFonts w:ascii="Calibri" w:hAnsi="Calibri" w:cs="Calibri"/>
                <w:color w:val="000000"/>
              </w:rPr>
            </w:pPr>
            <w:r>
              <w:rPr>
                <w:rFonts w:ascii="Calibri" w:hAnsi="Calibri" w:cs="Calibri"/>
                <w:color w:val="000000"/>
              </w:rPr>
              <w:t>4.4145</w:t>
            </w:r>
          </w:p>
        </w:tc>
        <w:tc>
          <w:tcPr>
            <w:tcW w:w="2263" w:type="dxa"/>
            <w:noWrap/>
            <w:hideMark/>
          </w:tcPr>
          <w:p w:rsidR="0081637A" w:rsidRPr="0081637A" w:rsidRDefault="0081637A" w:rsidP="0081637A">
            <w:pPr>
              <w:jc w:val="right"/>
              <w:rPr>
                <w:rFonts w:ascii="Calibri" w:eastAsia="Times New Roman" w:hAnsi="Calibri" w:cs="Calibri"/>
                <w:color w:val="000000"/>
                <w:lang w:eastAsia="en-AU"/>
              </w:rPr>
            </w:pPr>
            <w:r w:rsidRPr="0081637A">
              <w:rPr>
                <w:rFonts w:ascii="Calibri" w:eastAsia="Times New Roman" w:hAnsi="Calibri" w:cs="Calibri"/>
                <w:color w:val="000000"/>
                <w:lang w:eastAsia="en-AU"/>
              </w:rPr>
              <w:t>1.386294361</w:t>
            </w:r>
          </w:p>
        </w:tc>
        <w:tc>
          <w:tcPr>
            <w:tcW w:w="2132" w:type="dxa"/>
            <w:noWrap/>
            <w:hideMark/>
          </w:tcPr>
          <w:p w:rsidR="0081637A" w:rsidRPr="0081637A" w:rsidRDefault="0081637A" w:rsidP="0081637A">
            <w:pPr>
              <w:jc w:val="right"/>
              <w:rPr>
                <w:rFonts w:ascii="Calibri" w:eastAsia="Times New Roman" w:hAnsi="Calibri" w:cs="Calibri"/>
                <w:color w:val="000000"/>
                <w:lang w:eastAsia="en-AU"/>
              </w:rPr>
            </w:pPr>
            <w:r w:rsidRPr="0081637A">
              <w:rPr>
                <w:rFonts w:ascii="Calibri" w:eastAsia="Times New Roman" w:hAnsi="Calibri" w:cs="Calibri"/>
                <w:color w:val="000000"/>
                <w:lang w:eastAsia="en-AU"/>
              </w:rPr>
              <w:t>8.392649856</w:t>
            </w:r>
          </w:p>
        </w:tc>
      </w:tr>
    </w:tbl>
    <w:p w:rsidR="0081637A" w:rsidRDefault="0081637A" w:rsidP="00DC0A25">
      <w:pPr>
        <w:jc w:val="both"/>
        <w:rPr>
          <w:rFonts w:eastAsiaTheme="minorEastAsia"/>
          <w:sz w:val="20"/>
        </w:rPr>
      </w:pPr>
    </w:p>
    <w:p w:rsidR="0081637A" w:rsidRDefault="0081637A" w:rsidP="00DC0A25">
      <w:pPr>
        <w:jc w:val="both"/>
        <w:rPr>
          <w:rFonts w:eastAsiaTheme="minorEastAsia"/>
          <w:sz w:val="20"/>
        </w:rPr>
      </w:pPr>
      <w:r>
        <w:rPr>
          <w:rFonts w:eastAsiaTheme="minorEastAsia"/>
          <w:sz w:val="20"/>
        </w:rPr>
        <w:lastRenderedPageBreak/>
        <w:t>Linear regression of the data yields a line of best fit with the equation:</w:t>
      </w:r>
    </w:p>
    <w:p w:rsidR="0081637A" w:rsidRDefault="0081637A" w:rsidP="00DC0A25">
      <w:pPr>
        <w:jc w:val="both"/>
        <w:rPr>
          <w:rFonts w:eastAsiaTheme="minorEastAsia"/>
          <w:sz w:val="20"/>
        </w:rPr>
      </w:pPr>
      <m:oMathPara>
        <m:oMath>
          <m:r>
            <w:rPr>
              <w:rFonts w:ascii="Cambria Math" w:eastAsiaTheme="minorEastAsia" w:hAnsi="Cambria Math"/>
              <w:sz w:val="20"/>
            </w:rPr>
            <m:t>y=</m:t>
          </m:r>
          <m:r>
            <w:rPr>
              <w:rFonts w:ascii="Cambria Math" w:eastAsiaTheme="minorEastAsia" w:hAnsi="Cambria Math"/>
              <w:sz w:val="20"/>
            </w:rPr>
            <m:t>-1.63</m:t>
          </m:r>
          <m:d>
            <m:dPr>
              <m:ctrlPr>
                <w:rPr>
                  <w:rFonts w:ascii="Cambria Math" w:eastAsiaTheme="minorEastAsia" w:hAnsi="Cambria Math"/>
                  <w:i/>
                  <w:sz w:val="20"/>
                </w:rPr>
              </m:ctrlPr>
            </m:dPr>
            <m:e>
              <m:r>
                <w:rPr>
                  <w:rFonts w:ascii="Cambria Math" w:eastAsiaTheme="minorEastAsia" w:hAnsi="Cambria Math"/>
                  <w:sz w:val="20"/>
                </w:rPr>
                <m:t>±0.3</m:t>
              </m:r>
            </m:e>
          </m:d>
          <m:r>
            <w:rPr>
              <w:rFonts w:ascii="Cambria Math" w:eastAsiaTheme="minorEastAsia" w:hAnsi="Cambria Math"/>
              <w:sz w:val="20"/>
            </w:rPr>
            <m:t>x+8.9(±1.1)</m:t>
          </m:r>
        </m:oMath>
      </m:oMathPara>
    </w:p>
    <w:p w:rsidR="0081637A" w:rsidRPr="003F15DF" w:rsidRDefault="0081637A" w:rsidP="00DC0A25">
      <w:pPr>
        <w:jc w:val="both"/>
        <w:rPr>
          <w:rFonts w:eastAsiaTheme="minorEastAsia"/>
          <w:sz w:val="20"/>
        </w:rPr>
      </w:pPr>
      <w:r>
        <w:rPr>
          <w:rFonts w:eastAsiaTheme="minorEastAsia"/>
          <w:noProof/>
          <w:sz w:val="20"/>
        </w:rPr>
        <w:drawing>
          <wp:inline distT="0" distB="0" distL="0" distR="0">
            <wp:extent cx="5715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5715000" cy="2857500"/>
                    </a:xfrm>
                    <a:prstGeom prst="rect">
                      <a:avLst/>
                    </a:prstGeom>
                  </pic:spPr>
                </pic:pic>
              </a:graphicData>
            </a:graphic>
          </wp:inline>
        </w:drawing>
      </w:r>
    </w:p>
    <w:p w:rsidR="0081637A" w:rsidRPr="00562CC6" w:rsidRDefault="00562CC6" w:rsidP="00230320">
      <w:pPr>
        <w:jc w:val="both"/>
        <w:rPr>
          <w:sz w:val="20"/>
        </w:rPr>
      </w:pPr>
      <w:r>
        <w:rPr>
          <w:sz w:val="20"/>
        </w:rPr>
        <w:t xml:space="preserve">As can be seen, the line of best fit (obtained by linear regression) only very loosely follows the theorised relationship – although a scattered trend may be seen. </w:t>
      </w:r>
    </w:p>
    <w:p w:rsidR="00230320" w:rsidRDefault="00230320" w:rsidP="00230320">
      <w:pPr>
        <w:jc w:val="both"/>
        <w:rPr>
          <w:sz w:val="32"/>
          <w:u w:val="single"/>
        </w:rPr>
      </w:pPr>
      <w:r w:rsidRPr="00230320">
        <w:rPr>
          <w:sz w:val="32"/>
          <w:u w:val="single"/>
        </w:rPr>
        <w:t>Conclusion:</w:t>
      </w:r>
    </w:p>
    <w:p w:rsidR="00230320" w:rsidRPr="00562CC6" w:rsidRDefault="00562CC6" w:rsidP="00230320">
      <w:pPr>
        <w:rPr>
          <w:sz w:val="20"/>
        </w:rPr>
      </w:pPr>
      <w:r>
        <w:rPr>
          <w:sz w:val="20"/>
        </w:rPr>
        <w:t xml:space="preserve">The calculated relationship between distance between an electric field source and a charge and the resultant force due to the field was not as expected. Although a log graph shows a loose correlation, the results are far from definitive and as such, a valid conclusion may not be made as to the validity of Coulomb’s Law based solely on the results of this experiment. </w:t>
      </w:r>
      <w:r>
        <w:rPr>
          <w:sz w:val="20"/>
        </w:rPr>
        <w:br/>
        <w:t xml:space="preserve">Future experiments, with more defined and controlled variables would be recommended in an effort to justify the validity of the model. </w:t>
      </w:r>
      <w:bookmarkStart w:id="0" w:name="_GoBack"/>
      <w:bookmarkEnd w:id="0"/>
    </w:p>
    <w:p w:rsidR="00230320" w:rsidRDefault="00230320" w:rsidP="00230320">
      <w:pPr>
        <w:jc w:val="both"/>
        <w:rPr>
          <w:sz w:val="32"/>
          <w:u w:val="single"/>
        </w:rPr>
      </w:pPr>
      <w:r w:rsidRPr="00230320">
        <w:rPr>
          <w:sz w:val="32"/>
          <w:u w:val="single"/>
        </w:rPr>
        <w:t>References:</w:t>
      </w:r>
    </w:p>
    <w:p w:rsidR="00230320" w:rsidRDefault="00230320" w:rsidP="00230320">
      <w:r>
        <w:t xml:space="preserve">1. </w:t>
      </w:r>
      <w:r w:rsidR="00922172">
        <w:t xml:space="preserve">Knight, R.D (2015) </w:t>
      </w:r>
      <w:r w:rsidR="00922172">
        <w:rPr>
          <w:i/>
        </w:rPr>
        <w:t>Physics for Scientists and Engineers with Modern Physics</w:t>
      </w:r>
      <w:r w:rsidR="00922172">
        <w:t xml:space="preserve">, Pearson. </w:t>
      </w:r>
    </w:p>
    <w:p w:rsidR="00230320" w:rsidRPr="00230320" w:rsidRDefault="00230320" w:rsidP="00230320">
      <w:pPr>
        <w:jc w:val="both"/>
        <w:rPr>
          <w:sz w:val="20"/>
        </w:rPr>
      </w:pPr>
    </w:p>
    <w:sectPr w:rsidR="00230320" w:rsidRPr="0023032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D87" w:rsidRDefault="00784D87" w:rsidP="00C464E3">
      <w:pPr>
        <w:spacing w:after="0" w:line="240" w:lineRule="auto"/>
      </w:pPr>
      <w:r>
        <w:separator/>
      </w:r>
    </w:p>
  </w:endnote>
  <w:endnote w:type="continuationSeparator" w:id="0">
    <w:p w:rsidR="00784D87" w:rsidRDefault="00784D87" w:rsidP="00C46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D87" w:rsidRDefault="00784D87" w:rsidP="00C464E3">
      <w:pPr>
        <w:spacing w:after="0" w:line="240" w:lineRule="auto"/>
      </w:pPr>
      <w:r>
        <w:separator/>
      </w:r>
    </w:p>
  </w:footnote>
  <w:footnote w:type="continuationSeparator" w:id="0">
    <w:p w:rsidR="00784D87" w:rsidRDefault="00784D87" w:rsidP="00C46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4E3" w:rsidRDefault="00C464E3">
    <w:pPr>
      <w:pStyle w:val="Header"/>
    </w:pPr>
    <w:r>
      <w:t xml:space="preserve">Laboratory Report 1 – Ryan White (44990392) - </w:t>
    </w:r>
    <w:r w:rsidR="00562CC6">
      <w:t>PHYS</w:t>
    </w:r>
    <w:r>
      <w:t>1002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4E3"/>
    <w:rsid w:val="00154020"/>
    <w:rsid w:val="00230320"/>
    <w:rsid w:val="002612FF"/>
    <w:rsid w:val="003F15DF"/>
    <w:rsid w:val="00562CC6"/>
    <w:rsid w:val="005A4E58"/>
    <w:rsid w:val="00784D87"/>
    <w:rsid w:val="00812075"/>
    <w:rsid w:val="0081637A"/>
    <w:rsid w:val="008A0EEE"/>
    <w:rsid w:val="00922172"/>
    <w:rsid w:val="00957504"/>
    <w:rsid w:val="00B35B66"/>
    <w:rsid w:val="00C464E3"/>
    <w:rsid w:val="00C630C5"/>
    <w:rsid w:val="00CF740B"/>
    <w:rsid w:val="00DC0A25"/>
    <w:rsid w:val="00E03F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4B5D"/>
  <w15:chartTrackingRefBased/>
  <w15:docId w15:val="{99BAFA73-DBA3-4C3A-AE2D-FEA05BC2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5B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5B66"/>
    <w:rPr>
      <w:rFonts w:eastAsiaTheme="minorEastAsia"/>
      <w:lang w:val="en-US"/>
    </w:rPr>
  </w:style>
  <w:style w:type="paragraph" w:styleId="Header">
    <w:name w:val="header"/>
    <w:basedOn w:val="Normal"/>
    <w:link w:val="HeaderChar"/>
    <w:uiPriority w:val="99"/>
    <w:unhideWhenUsed/>
    <w:rsid w:val="00C46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4E3"/>
  </w:style>
  <w:style w:type="paragraph" w:styleId="Footer">
    <w:name w:val="footer"/>
    <w:basedOn w:val="Normal"/>
    <w:link w:val="FooterChar"/>
    <w:uiPriority w:val="99"/>
    <w:unhideWhenUsed/>
    <w:rsid w:val="00C46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4E3"/>
  </w:style>
  <w:style w:type="character" w:styleId="PlaceholderText">
    <w:name w:val="Placeholder Text"/>
    <w:basedOn w:val="DefaultParagraphFont"/>
    <w:uiPriority w:val="99"/>
    <w:semiHidden/>
    <w:rsid w:val="00154020"/>
    <w:rPr>
      <w:color w:val="808080"/>
    </w:rPr>
  </w:style>
  <w:style w:type="table" w:styleId="TableGrid">
    <w:name w:val="Table Grid"/>
    <w:basedOn w:val="TableNormal"/>
    <w:uiPriority w:val="39"/>
    <w:rsid w:val="00DC0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499314">
      <w:bodyDiv w:val="1"/>
      <w:marLeft w:val="0"/>
      <w:marRight w:val="0"/>
      <w:marTop w:val="0"/>
      <w:marBottom w:val="0"/>
      <w:divBdr>
        <w:top w:val="none" w:sz="0" w:space="0" w:color="auto"/>
        <w:left w:val="none" w:sz="0" w:space="0" w:color="auto"/>
        <w:bottom w:val="none" w:sz="0" w:space="0" w:color="auto"/>
        <w:right w:val="none" w:sz="0" w:space="0" w:color="auto"/>
      </w:divBdr>
    </w:div>
    <w:div w:id="408498836">
      <w:bodyDiv w:val="1"/>
      <w:marLeft w:val="0"/>
      <w:marRight w:val="0"/>
      <w:marTop w:val="0"/>
      <w:marBottom w:val="0"/>
      <w:divBdr>
        <w:top w:val="none" w:sz="0" w:space="0" w:color="auto"/>
        <w:left w:val="none" w:sz="0" w:space="0" w:color="auto"/>
        <w:bottom w:val="none" w:sz="0" w:space="0" w:color="auto"/>
        <w:right w:val="none" w:sz="0" w:space="0" w:color="auto"/>
      </w:divBdr>
    </w:div>
    <w:div w:id="127482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White</dc:creator>
  <cp:keywords/>
  <dc:description/>
  <cp:lastModifiedBy>Ryan White</cp:lastModifiedBy>
  <cp:revision>2</cp:revision>
  <dcterms:created xsi:type="dcterms:W3CDTF">2017-09-07T11:36:00Z</dcterms:created>
  <dcterms:modified xsi:type="dcterms:W3CDTF">2017-09-07T14:32:00Z</dcterms:modified>
</cp:coreProperties>
</file>