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 A third reading, complementary rather than alternative, is that the rubric itself participates in constituting role status rather than only describing it (Orlikowski &amp; Scott, 2008): the codebook's choice to individuate eight starting roles, the operationalization of </w:t>
      </w:r>
      <w:r>
        <w:rPr>
          <w:i/>
        </w:rPr>
        <w:t>load-bearing</w:t>
      </w:r>
      <w:r>
        <w:t xml:space="preserve"> as </w:t>
      </w:r>
      <w:r>
        <w:rPr>
          <w:i/>
        </w:rPr>
        <w:t>author-stated load-bearing</w:t>
      </w:r>
      <w:r>
        <w:t xml:space="preserve">, and the use of an LLM-agent second coder all configure what counts as a role, what counts as evidence for a status, and what counts as agreement. The rubric's outputs are intelligible </w:t>
      </w:r>
      <w:r>
        <w:rPr>
          <w:i/>
        </w:rPr>
        <w:t>as outputs of this rubric applied through this coding configuration</w:t>
      </w:r>
      <w:r>
        <w:t>; a different rubric would produce a different role-status landscape on the same cases. We do not regard this as invalidating the audit, but we treat it as a load-bearing scope condition.</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These predictions are empirically testable against a 2027 extension of the repository and are offered as falsifiable extensions of the framework, not as established findings.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