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(descriptive within-sample; procedural-prose-density and visibility-filter confounds bias the lift upward). This </w:t>
      </w:r>
      <w:r>
        <w:rPr>
          <w:i/>
        </w:rPr>
        <w:t>epistemic-guardian</w:t>
      </w:r>
      <w:r>
        <w:t xml:space="preserve"> signature is the paper's central descriptive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 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relationship between Table 1's anchors and the status assignment is </w:t>
      </w:r>
      <w:r>
        <w:rPr>
          <w:i/>
        </w:rPr>
        <w:t>formative</w:t>
      </w:r>
      <w:r>
        <w:t xml:space="preserve"> (Edwards &amp; Bagozzi, 2000): the anchors constitute the status by definition rather than reflectively measuring a latent state. </w:t>
      </w:r>
      <w:r>
        <w:rPr>
          <w:b/>
        </w:rPr>
        <w:t>Paradigm declaration, ostensive scope, and adjacent-literature engagement.</w:t>
      </w:r>
      <w:r>
        <w:t xml:space="preserve"> This audit operates within the modernist measurement tradition of organizational research, in the construct-validity lineage of Cronbach, Meehl, Messick, and Borsboom; we declare this paradigm location because the rubric's claims and limits are conditioned on it. The framework engages some adjacent literatures (Abbott jurisdictional theory; Furnari et al. configurational theorizing; Krippendorff content analysis; Doty-Glick typology theory; Feldman-Pentland routines on the ostensive aspect; Weick-Sutcliffe HRO/mindful organizing) more deeply than others. We acknowledge as named scope limits — not as engaged interlocutors — the paradox-theoretic literature (Smith &amp; Lewis, 2011; Lewis, 2000), which would press that the rubric's mutually-exclusive status assignments erase both/and tensions; the institutional-theory literature (DiMaggio &amp; Powell, 1983; Scott, 2014; Suchman, 1995 on legitimacy), which would press that case-family is best read as institutional-field with shared logics rather than as content-area; the Schatzki-Nicolini practice-theoretic tradition (Schatzki, 2002; Nicolini, 2012), distinct from the Orlikowski sociomateriality tradition cited above, which would press that </w:t>
      </w:r>
      <w:r>
        <w:rPr>
          <w:i/>
        </w:rPr>
        <w:t>practice</w:t>
      </w:r>
      <w:r>
        <w:t xml:space="preserve"> (not role) is the more defensible analytic primitive; and the evolutionary organizational-theory tradition (Aldrich &amp; Ruef, 2006; Hannan &amp; Freeman, 1977), which would press that the durable-roles signature is partly a selection-survivorship residue from publication selection on procedural integrity, not only an audit of constitutive role-attachment. None of these limitations is fatal; each is a rival reading the v1.0 rubric does not adjudicate, and each names a literature an ORM submission would benefit from engaging in subsequent revision.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situated enactment that adjusts the pattern through endogenous variation). Performative variation requires within-case episode coding the v1.0 rubric does not collect; a v1.1 instrument that traces sequence at the case-text level is the appropriate next step (Pentland &amp; Feldman, 2008, on the artifact-action gap). The κ failure on </w:t>
      </w:r>
      <w:r>
        <w:rPr>
          <w:i/>
        </w:rPr>
        <w:t>conditional</w:t>
      </w:r>
      <w:r>
        <w:t xml:space="preserve"> and </w:t>
      </w:r>
      <w:r>
        <w:rPr>
          <w:i/>
        </w:rPr>
        <w:t>transformed</w:t>
      </w:r>
      <w:r>
        <w:t xml:space="preserve"> (§6) is partly diagnostic of this scope: those two anchors require coders to read across the ostensive-performative boundary, while </w:t>
      </w:r>
      <w:r>
        <w:rPr>
          <w:i/>
        </w:rPr>
        <w:t>robust</w:t>
      </w:r>
      <w:r>
        <w:t xml:space="preserve"> and </w:t>
      </w:r>
      <w:r>
        <w:rPr>
          <w:i/>
        </w:rPr>
        <w:t>shrinking</w:t>
      </w:r>
      <w:r>
        <w:t xml:space="preserve"> operate at a single ostensive level.</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(The 2024–2026 capability window in (ii) refers to the AI-capability landscape against which the rubric was calibrated; the seed window includes 2023 cases for completeness, with the </w:t>
      </w:r>
      <w:r>
        <w:rPr>
          <w:i/>
        </w:rPr>
        <w:t>transformed</w:t>
      </w:r>
      <w:r>
        <w:t xml:space="preserve"> anchor's before/after coding scope-conditioned to author-stated retrospective language quotable from the case file.)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a </w:t>
      </w:r>
      <w:r>
        <w:rPr>
          <w:i/>
        </w:rPr>
        <w:t>constitutive</w:t>
      </w:r>
      <w:r>
        <w:t xml:space="preserve"> reading of the durable-roles pattern with a substantive interpretation: procedural roles are individuated by the rubric's anchors as the role-cells whose performance is treated by case authors as load-bearing for inferential validity, which means their durability under AI embedding is the empirical signature of where the field's practice currently locates </w:t>
      </w:r>
      <w:r>
        <w:rPr>
          <w:i/>
        </w:rPr>
        <w:t>epistemic-guardian</w:t>
      </w:r>
      <w:r>
        <w:t xml:space="preserve"> labor. That this signature concentrates on three roles (procedure, calibration, accountability) — rather than dispersing — is the substantive finding the audit licenses: under AI embedding, the field's practice converges on a small, stable set of validity-bearing roles rather than fragmenting validity work across many activities. The three durable roles together discharge what the high-reliability-organization literature (Weick &amp; Sutcliffe, 2007) describes as </w:t>
      </w:r>
      <w:r>
        <w:rPr>
          <w:i/>
        </w:rPr>
        <w:t>mindful organizing</w:t>
      </w:r>
      <w:r>
        <w:t xml:space="preserve">: preoccupation with failure (calibration), reluctance to simplify (provenance), sensitivity to operations (procedure), commitment to resilience and deference to expertise (accountability). The epistemic-guardian signature is in this sense the role-cell analog of the mindful-organizing signature documented in HRO settings. The durable-status collapse (robust + conditional + transformed) is also methodologically the right level for the configurational lift calculation: it absorbs the per-status disagreement on </w:t>
      </w:r>
      <w:r>
        <w:rPr>
          <w:i/>
        </w:rPr>
        <w:t>conditional</w:t>
      </w:r>
      <w:r>
        <w:t xml:space="preserve"> and </w:t>
      </w:r>
      <w:r>
        <w:rPr>
          <w:i/>
        </w:rPr>
        <w:t>transformed</w:t>
      </w:r>
      <w:r>
        <w:t xml:space="preserve"> that §6 documents (κ = 0.009 and 0.000 respectively), so the 12-of-36 lift survives even when those individual anchors do not.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The 1.52× lift confounds substantive role-attachment with case-text procedural-prose density (cases with more procedural prose register more procedural-robust codings; Williams, Hartman, &amp; Cavazotte, 2010), and is also conditioned on the visibility filter (cases visible enough to publish are partly cases where the procedural role was robust enough to produce a publishable workflow). Both confounds bias the lift upward; v1.1 marker-variable correction is the appropriate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A coordination-architecture reading is consistent with the lift but is </w:t>
      </w:r>
      <w:r>
        <w:rPr>
          <w:i/>
        </w:rPr>
        <w:t>conditional</w:t>
      </w:r>
      <w:r>
        <w:t xml:space="preserve"> on the rubric's anchors tracking features of practice that exist independent of the rubric (the v1.1 within-case extension is the test): if so, splitting the three procedural roles across separate coordination structures would create the provenance-vs-accountability merge pressure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The "routine" descriptor used here for these three task-clusters refers to </w:t>
      </w:r>
      <w:r>
        <w:rPr>
          <w:i/>
        </w:rPr>
        <w:t>high-consensus repeatable throughput</w:t>
      </w:r>
      <w:r>
        <w:t xml:space="preserve"> in the labor-economics sense (Autor 2015), not to </w:t>
      </w:r>
      <w:r>
        <w:rPr>
          <w:i/>
        </w:rPr>
        <w:t>organizational routines</w:t>
      </w:r>
      <w:r>
        <w:t xml:space="preserve"> in the Feldman &amp; Pentland (2003) sense; the routines-theoretic question of how the ostensive pattern of these task-clusters is performatively reproduced under AI embedding remains open and is the appropriate object of a v1.1 within-case extension. Shrinkage in this repository has three distinct jurisdictional shapes that are consistent with mechanisms catalogued in the labor-economics literature on automation, though the audit codes only the realized shape and does not adjudicate among the underlying mechanisms. </w:t>
      </w:r>
      <w:r>
        <w:rPr>
          <w:i/>
        </w:rPr>
        <w:t>Deskilling</w:t>
      </w:r>
      <w:r>
        <w:t xml:space="preserve"> — the role's content is simplified and the skill demand on the human contracts — is consistent with the routinization-pressure mechanism in Autor (2015) and the lower-skill-demand pole of the automation-augmentation paradox (Raisch &amp; Krakowski, 2021),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Acemoglu and Restrepo (2020) document for industrial robots, and fits the Tornberg (2025) objective-coding pattern. </w:t>
      </w:r>
      <w:r>
        <w:rPr>
          <w:i/>
        </w:rPr>
        <w:t>Boundary redefinition</w:t>
      </w:r>
      <w:r>
        <w:t xml:space="preserve"> — the task cluster is excised from the human role altogether and the role itself narrows — is consistent with what Brynjolfsson and Mitchell (2017) describe as task-level automation reshaping occupational composition, and the structural-prose-polishing pattern documented by Yin (n.d.) and Cox (n.d.) is the manuscript's role-level analog.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concentrated in 11 of 36 cases (a case is shrinking-positive if it carries shrinking on at least one of the three task-clusters); 25 cases carry zero shrinking codings, the asymmetry §3 turns on.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Table 1's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The </w:t>
      </w:r>
      <w:r>
        <w:rPr>
          <w:i/>
        </w:rPr>
        <w:t>conditional</w:t>
      </w:r>
      <w:r>
        <w:t xml:space="preserve"> status (92 of 612 rows) is operationally undifferentiated and we leave it so for v1.0; a two-extreme robustness bracket — reassigning all 92 conditional rows to </w:t>
      </w:r>
      <w:r>
        <w:rPr>
          <w:i/>
        </w:rPr>
        <w:t>robust</w:t>
      </w:r>
      <w:r>
        <w:t xml:space="preserve"> (extreme A: human-default) or to </w:t>
      </w:r>
      <w:r>
        <w:rPr>
          <w:i/>
        </w:rPr>
        <w:t>transformed</w:t>
      </w:r>
      <w:r>
        <w:t xml:space="preserve"> (extreme B: AI-default) — yields sign-test </w:t>
      </w:r>
      <w:r>
        <w:rPr>
          <w:i/>
        </w:rPr>
        <w:t>p</w:t>
      </w:r>
      <w:r>
        <w:t xml:space="preserve"> = 0.004 (A) or 0.021 (B): the verdict is robust to either prior.</w:t>
      </w:r>
    </w:p>
    <w:p>
      <w:r>
        <w:t>The v1.1 pre-analysis plan (filed at OSF prior to coding)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(one role drops because its V is undefined on the 32-case subset;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case family (raw 0.58, adj. 0.58); (6) on AI capability (raw 0.33, adj. 0.66).</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generates three forward-looking propositions for theory-extension testing on the pre-specified 2027 hold-out: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(one leading-indicator case, Hajishirzi 2026; the most speculative). Falsification thresholds per proposition, the 2027 sampling frame (target </w:t>
      </w:r>
      <w:r>
        <w:rPr>
          <w:i/>
        </w:rPr>
        <w:t>N</w:t>
      </w:r>
      <w:r>
        <w:t xml:space="preserve"> = 60), and the pre-committed analysis script </w:t>
      </w:r>
      <w:r>
        <w:rPr>
          <w:rFonts w:ascii="Consolas" w:hAnsi="Consolas"/>
          <w:sz w:val="21"/>
        </w:rPr>
        <w:t>scripts/section7_2027_holdout.py</w:t>
      </w:r>
      <w:r>
        <w:t xml:space="preserve"> are filed at the v1.0.0-ORM-submission release tag.</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Tables 5 and 6 together summarize the framework's applied use; the decision tree in Appendix E is the auditable protocol for assigning a status to a new (role × case) cell.</w:t>
      </w:r>
    </w:p>
    <w:p>
      <w:r>
        <w:t>The paired deliverable is the released 36-case database, codebook, rubric, coder protocol (Appendix E), and reviewer-audit checklist (Appendix F); readers are invited to apply, contest, and extend the coding.</w:t>
      </w:r>
    </w:p>
    <w:p>
      <w:r>
        <w:t xml:space="preserve">The role-system rubric advanced here sits within computational social science (Lazer et al., 2009, 2020) at a level the existing CSS literature has under-theorized: not the pipeline (Hickman et al., 2022) and not the model, but the activity-level role within which both pipeline and model are embedded. We acknowledge a Foucauldian reading: a rubric that codes role-status assignments and recommends institutional adoption (Tables 5, 6) is itself a discursive intervention — once the six statuses circulate as a measurement convention, researchers will plausibly organize their work around the rubric, and the rubric will partly </w:t>
      </w:r>
      <w:r>
        <w:rPr>
          <w:i/>
        </w:rPr>
        <w:t>produce</w:t>
      </w:r>
      <w:r>
        <w:t xml:space="preserve"> the role-system it claims to describe. We do not regard this as invalidating the audit; we regard it as the inescapable governmentality dimension of any methodological-rubric contribution and we flag it explicitly so readers from postmodern and practice-theoretic traditions can locate the work. The disconfirmation apparatus is a parallel rubric application by independent research groups on a 2027–2030 sample, which would surface jurisdictional variation in the rubric itself; in its absence, this audit is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p>
      <w:pPr>
        <w:pStyle w:val="ListBullet"/>
      </w:pPr>
      <w:r>
        <w:t>Feldman and Pentland, 2003. Reconceptualizing organizational routines as a source of flexibility and change. *Administrative Science Quarterly*, 48(1), 94–118. [BG113]</w:t>
      </w:r>
    </w:p>
    <w:p>
      <w:pPr>
        <w:pStyle w:val="ListBullet"/>
      </w:pPr>
      <w:r>
        <w:t>Pentland and Feldman, 2008. Designing routines: On the folly of designing artifacts while hoping for patterns of action. *Information and Organization*, 18(4), 235–250. [BG114]</w:t>
      </w:r>
    </w:p>
    <w:p>
      <w:pPr>
        <w:pStyle w:val="ListBullet"/>
      </w:pPr>
      <w:r>
        <w:t>Weick and Sutcliffe, 2007. *Managing the Unexpected: Resilient Performance in an Age of Uncertainty* (2nd ed.). Jossey-Bass. [BG115]</w:t>
      </w:r>
    </w:p>
    <w:p>
      <w:pPr>
        <w:pStyle w:val="ListBullet"/>
      </w:pPr>
      <w:r>
        <w:t>Pentland, 1999. Building process theory with narrative: From description to explanation. *Academy of Management Review*, 24(4), 711–724. [BG116]</w:t>
      </w:r>
    </w:p>
    <w:p>
      <w:pPr>
        <w:pStyle w:val="ListBullet"/>
      </w:pPr>
      <w:r>
        <w:t>Smith and Lewis, 2011. Toward a theory of paradox: A dynamic equilibrium model of organizing. *Academy of Management Review*, 36(2), 381–403. [BG117]</w:t>
      </w:r>
    </w:p>
    <w:p>
      <w:pPr>
        <w:pStyle w:val="ListBullet"/>
      </w:pPr>
      <w:r>
        <w:t>Lewis, 2000. Exploring paradox: Toward a more comprehensive guide. *Academy of Management Review*, 25(4), 760–776. [BG118]</w:t>
      </w:r>
    </w:p>
    <w:p>
      <w:pPr>
        <w:pStyle w:val="ListBullet"/>
      </w:pPr>
      <w:r>
        <w:t>DiMaggio and Powell, 1983. The iron cage revisited: Institutional isomorphism and collective rationality in organizational fields. *American Sociological Review*, 48(2), 147–160. [BG119]</w:t>
      </w:r>
    </w:p>
    <w:p>
      <w:pPr>
        <w:pStyle w:val="ListBullet"/>
      </w:pPr>
      <w:r>
        <w:t>Scott, 2014. *Institutions and Organizations: Ideas, Interests, and Identities* (4th ed.). Sage. [BG120]</w:t>
      </w:r>
    </w:p>
    <w:p>
      <w:pPr>
        <w:pStyle w:val="ListBullet"/>
      </w:pPr>
      <w:r>
        <w:t>Suchman (M.C.), 1995. Managing legitimacy: Strategic and institutional approaches. *Academy of Management Review*, 20(3), 571–610. [BG121]</w:t>
      </w:r>
    </w:p>
    <w:p>
      <w:pPr>
        <w:pStyle w:val="ListBullet"/>
      </w:pPr>
      <w:r>
        <w:t>Schatzki, 2002. *The Site of the Social: A Philosophical Account of the Constitution of Social Life and Change*. Pennsylvania State University Press. [BG122]</w:t>
      </w:r>
    </w:p>
    <w:p>
      <w:pPr>
        <w:pStyle w:val="ListBullet"/>
      </w:pPr>
      <w:r>
        <w:t>Nicolini, 2012. *Practice Theory, Work, and Organization: An Introduction*. Oxford University Press. [BG123]</w:t>
      </w:r>
    </w:p>
    <w:p>
      <w:pPr>
        <w:pStyle w:val="ListBullet"/>
      </w:pPr>
      <w:r>
        <w:t>Aldrich and Ruef, 2006. *Organizations Evolving* (2nd ed.). Sage. [BG124]</w:t>
      </w:r>
    </w:p>
    <w:p>
      <w:pPr>
        <w:pStyle w:val="ListBullet"/>
      </w:pPr>
      <w:r>
        <w:t>Hannan and Freeman, 1977. The population ecology of organizations. *American Journal of Sociology*, 82(5), 929–964. [BG125]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