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Comparative Typology of Role-System Change Under AI Embedding: Evidence from 36 Cases</w:t>
      </w:r>
    </w:p>
    <w:p>
      <w:pPr>
        <w:pStyle w:val="Heading1"/>
      </w:pPr>
      <w:r>
        <w:t>Abstract</w:t>
      </w:r>
    </w:p>
    <w:p>
      <w:r>
        <w:t xml:space="preserve">Debate about AI in research is still often framed as a contest between humans and models. That framing is too coarse for the current evidence. We make three contributions. </w:t>
      </w:r>
      <w:r>
        <w:rPr>
          <w:i/>
        </w:rPr>
        <w:t>First</w:t>
      </w:r>
      <w:r>
        <w:t xml:space="preserve">, we recast a source-backed repository of 36 AI-in-research cases as a role-system dataset, with 93 source rows, 144 evidence extracts, and 612 role × case codings traced to local full-text PDFs. </w:t>
      </w:r>
      <w:r>
        <w:rPr>
          <w:i/>
        </w:rPr>
        <w:t>Second</w:t>
      </w:r>
      <w:r>
        <w:t xml:space="preserve">, we develop a behaviorally-anchored rubric distinguishing six role statuses — robust, conditional, transformed, shrinking, split pressure, merge pressure — mutually exclusive within each (role × case) cell. </w:t>
      </w:r>
      <w:r>
        <w:rPr>
          <w:i/>
        </w:rPr>
        <w:t>Third</w:t>
      </w:r>
      <w:r>
        <w:t xml:space="preserve">, we apply the rubric to the 36 cases and report the resulting pattern: three procedural-validity roles (protocol-and-provenance architect, calibration architect, accountability-and-labor allocator) co-occur as a </w:t>
      </w:r>
      <w:r>
        <w:rPr>
          <w:i/>
        </w:rPr>
        <w:t>durable</w:t>
      </w:r>
      <w:r>
        <w:t xml:space="preserve"> configuration in 12 of 36 cases, 1.52× the count expected under marginal independence — the candidate </w:t>
      </w:r>
      <w:r>
        <w:rPr>
          <w:i/>
        </w:rPr>
        <w:t>epistemic-guardian</w:t>
      </w:r>
      <w:r>
        <w:t xml:space="preserve"> signature; three throughput clusters shrink in 40 observations (routine first-pass screening, high-consensus coding on ground-truth-rich tasks, structural prose polishing). H3 is supported as a cell-level association (</w:t>
      </w:r>
      <w:r>
        <w:rPr>
          <w:i/>
        </w:rPr>
        <w:t>p</w:t>
      </w:r>
      <w:r>
        <w:t xml:space="preserve"> = 0.0002) but does not reach significance under the clustering-aware case-level null at </w:t>
      </w:r>
      <w:r>
        <w:rPr>
          <w:i/>
        </w:rPr>
        <w:t>N</w:t>
      </w:r>
      <w:r>
        <w:t xml:space="preserve"> = 36 (</w:t>
      </w:r>
      <w:r>
        <w:rPr>
          <w:i/>
        </w:rPr>
        <w:t>p</w:t>
      </w:r>
      <w:r>
        <w:t xml:space="preserve"> = 0.58). Reliability is reported as a v1.0 baseline (§6.2); v1.1 instruments — a case-family DIF and latent-class-invariance test, a fully-blind human second-coder pass with cross-coder DIF on the six-status responses, and a within-case transition-coding extension — are pre-committed. We offer this as a comparative typology audit with a v1.0 rubric — anchored deductively to the automation-augmentation paradox and inductively to the specification operations the cases forced — and hope it serves as a catalyst for further audits of role-system change under AI embedding.</w:t>
      </w:r>
    </w:p>
    <w:p>
      <w:pPr>
        <w:pStyle w:val="Heading1"/>
      </w:pPr>
      <w:r>
        <w:t>1. Introduction</w:t>
      </w:r>
    </w:p>
    <w:p>
      <w:r>
        <w:t>Claims that AI is reshaping research labor are ubiquitous, and the recent review literature catalogues both what large language models can do across social-science workflows and what they cannot. Surveys of generative AI in social-science research (Bail, 2024; Grossmann et al., 2023) and benchmark evaluations across computational social-science tasks (Ziems et al., 2024) document substantial capability ranges; practical guides describe how to use LLMs for text analysis (Törnberg, 2023). What remains thin is the vocabulary used to adjudicate role-level claims.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rPr>
          <w:i/>
        </w:rPr>
        <w:t>Organizational Research Methods</w:t>
      </w:r>
      <w:r>
        <w:t xml:space="preserve"> has a sustained tradition of behaviorally-anchored audit rubrics (Aguinis et al., 2023; Hickman et al., 2022; Bergh et al., 2017 on credibility) but has not yet produced one for adjudicating role-level automation claims at the (role × case) cell level under AI embedding.</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 xml:space="preserve">Before describing the audit, we clarify the rubric's paradigm location. The audit operates within the modernist measurement tradition of organizational research, in the construct-validity lineage. The rubric is constructed under both </w:t>
      </w:r>
      <w:r>
        <w:rPr>
          <w:i/>
        </w:rPr>
        <w:t>deductive</w:t>
      </w:r>
      <w:r>
        <w:t xml:space="preserve"> and </w:t>
      </w:r>
      <w:r>
        <w:rPr>
          <w:i/>
        </w:rPr>
        <w:t>inductive</w:t>
      </w:r>
      <w:r>
        <w:t xml:space="preserve"> forces: the four allocation states (robust → conditional → transformed → shrinking) are deductively anchored to the automation-augmentation paradox literature (Raisch &amp; Krakowski, 2021; Autor, 2015) on how human work is reorganized as machines are embedded in the workflow; the two specification operations (split pressure / merge pressure) emerged inductively through constant comparison across cases that the allocation continuum could not accommodate. The audit further engages the configurational-theorizing, content-analysis, typology-as-theory, organizational-routines (ostensive aspect), and high-reliability-organizing traditions. Adjacent traditions — paradox-theoretic, institutional, practice-theoretic, evolutionary — name rival readings the v1.0 rubric does not adjudicate; §6 identifies them.</w:t>
      </w:r>
    </w:p>
    <w:p>
      <w:r>
        <w:t xml:space="preserve">A recurring framing problem in this literature is to ask whether "humans" or "AI" perform better — a framing that is sometimes appropriate but is too coarse for the role-level evidence base assembled here.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draws on three lines of prior work and rescales each. From the sociology of professions, it borrows Abbott's (1988, 2005) jurisdictional mechanisms — diagnosis, legitimation, segmentation, and consolidation — but rescales them from the occupational profession to the activity-level role; recent work in this tradition (Eyal, 2013) similarly treats </w:t>
      </w:r>
      <w:r>
        <w:rPr>
          <w:i/>
        </w:rPr>
        <w:t>expertise</w:t>
      </w:r>
      <w:r>
        <w:t xml:space="preserve"> rather than </w:t>
      </w:r>
      <w:r>
        <w:rPr>
          <w:i/>
        </w:rPr>
        <w:t>the profession</w:t>
      </w:r>
      <w:r>
        <w:t xml:space="preserve"> as the unit at which jurisdictional change is observed. From classical role theory, it borrows the relational specification of role bundles (Merton, 1957) but operationalizes them as behaviorally observable activities; the recent role-theory synthesis treats roles as structured, partially overlapping bundles within an intrapersonal network (Ramarajan, 2014), an idea the rubric extends from the human person to the activity-level role under AI embedding.</w:t>
      </w:r>
    </w:p>
    <w:p>
      <w:r>
        <w:t xml:space="preserve">The rubric's central constructs are distinguishable from their closest predecessors: </w:t>
      </w:r>
      <w:r>
        <w:rPr>
          <w:i/>
        </w:rPr>
        <w:t>status</w:t>
      </w:r>
      <w:r>
        <w:t xml:space="preserve"> operates at the activity-level role-cell rather than the occupational profession; </w:t>
      </w:r>
      <w:r>
        <w:rPr>
          <w:i/>
        </w:rPr>
        <w:t>transformed</w:t>
      </w:r>
      <w:r>
        <w:t xml:space="preserve"> requires a verb-swap or new-sub-task anchor at the role-cell level (cf. Barley's 1986 occupational change); </w:t>
      </w:r>
      <w:r>
        <w:rPr>
          <w:i/>
        </w:rPr>
        <w:t>split pressure</w:t>
      </w:r>
      <w:r>
        <w:t xml:space="preserve"> registers rubric-revision pressure on the audit instrument rather than identity-work performed by occupational members.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36-case database spanning contested political measurement, review screening, synthetic respondents, reflexive memoing, autonomous empirical analysis, reproducibility assessment, manuscript co-writing, and autonomy-heavy research systems.</w:t>
      </w:r>
    </w:p>
    <w:p>
      <w:r>
        <w:t xml:space="preserve">The paper asks a straightforward research question: across the full repository, which human research roles are robust, conditional, transformed, shrinking, or mis-specified under generative, agentic, and predictive AI? It carries three theoretically attributed hypotheses into the comparative analysis. </w:t>
      </w:r>
      <w:r>
        <w:rPr>
          <w:i/>
        </w:rPr>
        <w:t>H1</w:t>
      </w:r>
      <w:r>
        <w:t xml:space="preserve"> — boundary-setting and procedure-setting roles should survive more often than routine production tasks — is an Abbott (1988) jurisdictional-stability prediction rescaled from the occupation to the activity-level role: settled diagnostic and legitimation jurisdiction is harder to displace than throughput jurisdiction because the former carries the inference-licensing function that survives tool substitution. </w:t>
      </w:r>
      <w:r>
        <w:rPr>
          <w:i/>
        </w:rPr>
        <w:t>H2</w:t>
      </w:r>
      <w:r>
        <w:t xml:space="preserve"> — shrinkage should cluster where tasks have public ground truth and clean post-hoc auditability — is a joint Autor (2015) routinization and Frey &amp; Osborne (2017) substitution prediction: tasks decomposable into rule-followable subtasks with observable evaluation targets are the ones automation substitutes for rather than augments. </w:t>
      </w:r>
      <w:r>
        <w:rPr>
          <w:i/>
        </w:rPr>
        <w:t>H3</w:t>
      </w:r>
      <w:r>
        <w:t xml:space="preserve"> — role status should vary more by research stage and institutional setting than by AI capability label alone — is a Barley (1986) task-structure-as-occasion-for-structuring prediction: AI capabilities are occasions whose realized organizational form is shaped by the task-structure and occupational community into which they land, so case-family variance should dominate capability-label variance.</w:t>
      </w:r>
    </w:p>
    <w:p>
      <w:r>
        <w:t>The argument is narrower than many automation narratives: the repository becomes most useful once read as a role-system archive, where the durable question is not "can the model do research?" but "which human roles remain constitutive of epistemic validity when models become embedded in the workflow?"</w:t>
      </w:r>
    </w:p>
    <w:p>
      <w:r>
        <w:t xml:space="preserve">The contribution is </w:t>
      </w:r>
      <w:r>
        <w:rPr>
          <w:i/>
        </w:rPr>
        <w:t>methodological</w:t>
      </w:r>
      <w:r>
        <w:t xml:space="preserve"> — a behaviorally-anchored rubric for coding role-status change at the (role × case) cell level — with a secondary </w:t>
      </w:r>
      <w:r>
        <w:rPr>
          <w:i/>
        </w:rPr>
        <w:t>integrative-theoretical</w:t>
      </w:r>
      <w:r>
        <w:t xml:space="preserve"> component that rescales Abbott's jurisdictional mechanisms from occupation to activity-level role: </w:t>
      </w:r>
      <w:r>
        <w:rPr>
          <w:i/>
        </w:rPr>
        <w:t>robust</w:t>
      </w:r>
      <w:r>
        <w:t xml:space="preserve"> corresponds to settled human jurisdiction over an activity's diagnostic or legitimation function; </w:t>
      </w:r>
      <w:r>
        <w:rPr>
          <w:i/>
        </w:rPr>
        <w:t>conditional</w:t>
      </w:r>
      <w:r>
        <w:t xml:space="preserve"> to contested moderator-dependent jurisdiction; </w:t>
      </w:r>
      <w:r>
        <w:rPr>
          <w:i/>
        </w:rPr>
        <w:t>transformed</w:t>
      </w:r>
      <w:r>
        <w:t xml:space="preserve"> to jurisdictional content revision (humans retain the territory but redefine what is done within it); </w:t>
      </w:r>
      <w:r>
        <w:rPr>
          <w:i/>
        </w:rPr>
        <w:t>shrinking</w:t>
      </w:r>
      <w:r>
        <w:t xml:space="preserve"> to deskilling and task-cluster delegation; </w:t>
      </w:r>
      <w:r>
        <w:rPr>
          <w:i/>
        </w:rPr>
        <w:t>split pressure</w:t>
      </w:r>
      <w:r>
        <w:t xml:space="preserve"> to jurisdictional segmentation; </w:t>
      </w:r>
      <w:r>
        <w:rPr>
          <w:i/>
        </w:rPr>
        <w:t>merge pressure</w:t>
      </w:r>
      <w:r>
        <w:t xml:space="preserve"> to consolidation. The rubric's behavioral anchors are operationalizations of these mechanisms, not atheoretical labels. The rubric extends ORM's measurement-tradition lineage at a level that lineage has not yet covered; the integrative-theoretical work is scoped to the rubric's jurisdictional rescaling rather than to a stand-alone theory of role-system change in the Whetten (1989) sense.</w:t>
      </w:r>
    </w:p>
    <w:p>
      <w:pPr>
        <w:pStyle w:val="Heading1"/>
      </w:pPr>
      <w:r>
        <w:t>2. Data and Design</w:t>
      </w:r>
    </w:p>
    <w:p>
      <w:pPr>
        <w:pStyle w:val="Heading2"/>
      </w:pPr>
      <w:r>
        <w:t>2.1 Sampling and case selection</w:t>
      </w:r>
    </w:p>
    <w:p>
      <w:r>
        <w:t xml:space="preserve">The analysis is built from a local database rather than from a narrative reading of a few high-profile examples. Cases were seeded by the following rule: (i) published or preprinted 2023–2026; (ii) primary empirical object is AI use in a research step — measurement, screening, interpretation, synthesis, reproducibility, authorship, or autonomous pipelines; (iii) full text retrievable for coding. The sampling logic follows the systematic-review tradition of explicit inclusion rules and reporting (Page et al., 2021; Tranfield et al., 2003; Siddaway et al., 2019). The 36-case audit is best characterized in Snyder's (2019) three-type framework as a </w:t>
      </w:r>
      <w:r>
        <w:rPr>
          <w:i/>
        </w:rPr>
        <w:t>semi-systematic</w:t>
      </w:r>
      <w:r>
        <w:t xml:space="preserve"> review: it maps theoretical approaches (the eight starting roles plus six split-candidate roles) and identifies knowledge gaps (the rubric-revision pressure documented as split and merge pressure) rather than aiming for an exhaustive enumeration. The seed pool was assembled from targeted searches of methodological venues plus forward and backward citation from four anchor papers (Törnberg, 2025; Keith, 2026; Larson, 2024; Kang, 2025), and supplemented with preprint-server queries for autonomy-heavy systems not yet peer-reviewed. A dropped-case list with exclusion reasons is released alongside the database.</w:t>
      </w:r>
    </w:p>
    <w:p>
      <w:r>
        <w:t xml:space="preserve">The seed strategy concentrates on AI-in-research projects that are visibly identified as such — methodological-venue search and forward/backward citation preferentially surface high-visibility cases — and we acknowledge a </w:t>
      </w:r>
      <w:r>
        <w:rPr>
          <w:i/>
        </w:rPr>
        <w:t>visibility-bias</w:t>
      </w:r>
      <w:r>
        <w:t xml:space="preserve"> limitation that operates at the case-selection layer separately from publication bias on individual cases (Bail, 2024). The 36 cases sample from a larger population of attempted AI-in-research workflows whose population boundary the rubric does not name; an evolutionary reading (Aldrich &amp; Ruef, 2006; Hannan &amp; Freeman, 1977) treats publication as a non-random selection mechanism and the durable-roles signature as partly the selection-survivorship residue.</w:t>
      </w:r>
    </w:p>
    <w:p>
      <w:pPr>
        <w:pStyle w:val="Heading2"/>
      </w:pPr>
      <w:r>
        <w:t>2.2 Database, recording units, and coding logic</w:t>
      </w:r>
    </w:p>
    <w:p>
      <w:r>
        <w:t>The recording unit for coding is the (role × case) cell, the context unit is the full case file plus its registered secondary sources, and the encounter sequence directs the coder to read the case's abstract and methods before encountering the evidence extracts (Krippendorff, 2011; Hruschka et al., 2004). The database contains 36 seeded cases, 93 source rows (57 external), 144 evidence extracts, and 612 role-coding rows. All 36 cases are analysis-ready; every primary source cited is stored locally as full-text PDF or lawful green-OA deposit. After a full-text review pass, 437 of the 612 role-coding rows are high-confidence, 165 medium-confidence, and 10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This structure creates a comparative frame in which cases can be aligned on role status, evidence strength, research stage, institutional setting, autonomy pressure, task ground truth, and post hoc auditability.</w:t>
      </w:r>
    </w:p>
    <w:p>
      <w:r>
        <w:t xml:space="preserve">Role-status assignment is a form of content analysis (Stemler, 2001; Duriau et al., 2007; Hruschka et al., 2004). 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roles may </w:t>
      </w:r>
      <w:r>
        <w:rPr>
          <w:i/>
        </w:rPr>
        <w:t>split</w:t>
      </w:r>
      <w:r>
        <w:t xml:space="preserve"> (calibration becoming a distinct role rather than a subpart of transportability judgment), </w:t>
      </w:r>
      <w:r>
        <w:rPr>
          <w:i/>
        </w:rPr>
        <w:t>merge</w:t>
      </w:r>
      <w:r>
        <w:t xml:space="preserve"> (roles inseparable in practice), or be re-read as </w:t>
      </w:r>
      <w:r>
        <w:rPr>
          <w:i/>
        </w:rPr>
        <w:t>shrinking task-clusters</w:t>
      </w:r>
      <w:r>
        <w:t xml:space="preserve"> where routine throughput dominates the work. The audit's load-bearing tradition is </w:t>
      </w:r>
      <w:r>
        <w:rPr>
          <w:i/>
        </w:rPr>
        <w:t>content analysis in the Krippendorff sense</w:t>
      </w:r>
      <w:r>
        <w:t>, augmented by case-based theorizing (Eisenhardt, 1989) and typology-as-theory-building (Doty &amp; Glick, 1994).</w:t>
      </w:r>
    </w:p>
    <w:p>
      <w:r>
        <w:t xml:space="preserve">This is a typological audit with association statistics, not a Qualitative Comparative Analysis (QCA): at </w:t>
      </w:r>
      <w:r>
        <w:rPr>
          <w:i/>
        </w:rPr>
        <w:t>N</w:t>
      </w:r>
      <w:r>
        <w:t xml:space="preserve"> = 36 cases × 17 roles, truth-table minimization is non-identified, so the consistency and coverage measures in §4 are used descriptively rather than as the inferential engine. 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H1 and H2 are pattern-level claims aggregating across roles; H3 is a role-level claim tested via a paired sign test across 16 roles with defined </w:t>
      </w:r>
      <w:r>
        <w:rPr>
          <w:i/>
        </w:rPr>
        <w:t>V</w:t>
      </w:r>
      <w:r>
        <w:t>. Tables 2 and 3 report aggregate distributions; §6 reports the confirmatory test.</w:t>
      </w:r>
    </w:p>
    <w:p>
      <w:pPr>
        <w:pStyle w:val="Heading2"/>
      </w:pPr>
      <w:r>
        <w:t>2.3 Rubric development (v0.1 → v0.4)</w:t>
      </w:r>
    </w:p>
    <w:p>
      <w:r>
        <w:t>The rubric in Table 1 was developed under both deductive and inductive forces. Behavioral anchors are operationalizations of the role-construct in the validity sense developed in measurement theory: anchors are observable features that license inferences about the underlying status, and the rubric's claim is to construct validity in the Cronbach-Meehl-Messick lineage (Cronbach &amp; Meehl, 1955; Messick, 1995; Borsboom et al., 2004), where validity is a property of inferences rather than of the instrument alone.</w:t>
      </w:r>
    </w:p>
    <w:p>
      <w:r>
        <w:rPr>
          <w:i/>
        </w:rPr>
        <w:t>Deductive anchor (allocation continuum).</w:t>
      </w:r>
      <w:r>
        <w:t xml:space="preserve"> The four allocation states — robust → conditional → transformed → shrinking — are deductively anchored to the </w:t>
      </w:r>
      <w:r>
        <w:rPr>
          <w:i/>
        </w:rPr>
        <w:t>automation-augmentation paradox</w:t>
      </w:r>
      <w:r>
        <w:t xml:space="preserve"> literature on how human work is reorganized when machines are embedded in the workflow (Raisch &amp; Krakowski, 2021; Autor, 2015). </w:t>
      </w:r>
      <w:r>
        <w:rPr>
          <w:i/>
        </w:rPr>
        <w:t>Robust</w:t>
      </w:r>
      <w:r>
        <w:t xml:space="preserve"> corresponds to the human-as-sole-performer pole (the augmentation-only end where AI substitution would degrade validity); </w:t>
      </w:r>
      <w:r>
        <w:rPr>
          <w:i/>
        </w:rPr>
        <w:t>conditional</w:t>
      </w:r>
      <w:r>
        <w:t xml:space="preserve"> to moderator-gated mixed performance (the contingent-augmentation middle); </w:t>
      </w:r>
      <w:r>
        <w:rPr>
          <w:i/>
        </w:rPr>
        <w:t>transformed</w:t>
      </w:r>
      <w:r>
        <w:t xml:space="preserve"> to content-redefinition with humans retained at the redefined task (the augmentation-with-content-shift register); and </w:t>
      </w:r>
      <w:r>
        <w:rPr>
          <w:i/>
        </w:rPr>
        <w:t>shrinking</w:t>
      </w:r>
      <w:r>
        <w:t xml:space="preserve"> to substitution with humans as exception-handlers (the automation-leaning pole). The four states are not a priori partitions of the dimension; they are the discrete points along the augmentation–automation continuum at which case-text language consistently changed.</w:t>
      </w:r>
    </w:p>
    <w:p>
      <w:r>
        <w:rPr>
          <w:i/>
        </w:rPr>
        <w:t>Inductive emergence (specification operations).</w:t>
      </w:r>
      <w:r>
        <w:t xml:space="preserve"> The two specification operations — </w:t>
      </w:r>
      <w:r>
        <w:rPr>
          <w:i/>
        </w:rPr>
        <w:t>split pressure</w:t>
      </w:r>
      <w:r>
        <w:t xml:space="preserve"> and </w:t>
      </w:r>
      <w:r>
        <w:rPr>
          <w:i/>
        </w:rPr>
        <w:t>merge pressure</w:t>
      </w:r>
      <w:r>
        <w:t xml:space="preserve"> — emerged from constant comparison across cases that the deductive continuum could not accommodate. v0.2 added </w:t>
      </w:r>
      <w:r>
        <w:rPr>
          <w:i/>
        </w:rPr>
        <w:t>split pressure</w:t>
      </w:r>
      <w:r>
        <w:t xml:space="preserve"> after Case 3 (Gligorić) showed </w:t>
      </w:r>
      <w:r>
        <w:rPr>
          <w:i/>
        </w:rPr>
        <w:t>construct and perspective boundary setter</w:t>
      </w:r>
      <w:r>
        <w:t xml:space="preserve"> conflated diagnostic and sampling sub-activities; v0.3 added </w:t>
      </w:r>
      <w:r>
        <w:rPr>
          <w:i/>
        </w:rPr>
        <w:t>merge pressure</w:t>
      </w:r>
      <w:r>
        <w:t xml:space="preserve"> after Case 10 (Hajishirzi) showed provenance and accountability inseparable. These operations revise the unit of analysis itself rather than the human-AI allocation within a fixed unit, and the typology-as-theory-building tradition treats this revisability as a productive feature (Doty &amp; Glick, 1994; Fiss, 2011; Delbridge &amp; Fiss, 2013; Cornelissen, 2017; Cornelissen et al., 2021). Furnari et al.'s (2021) configurational-theorizing heuristics — </w:t>
      </w:r>
      <w:r>
        <w:rPr>
          <w:i/>
        </w:rPr>
        <w:t>scoping</w:t>
      </w:r>
      <w:r>
        <w:t xml:space="preserve"> and </w:t>
      </w:r>
      <w:r>
        <w:rPr>
          <w:i/>
        </w:rPr>
        <w:t>linking</w:t>
      </w:r>
      <w:r>
        <w:t xml:space="preserve"> — operationalize split and merge pressure respectively at the role-cell level. We position the rubric as a typology in Doty &amp; Glick's (1994) </w:t>
      </w:r>
      <w:r>
        <w:rPr>
          <w:i/>
        </w:rPr>
        <w:t>theory-building</w:t>
      </w:r>
      <w:r>
        <w:t xml:space="preserve"> sense rather than in their classificatory sense: the six statuses are claimed to specify a substantive structure of role-system change under AI embedding (an allocation continuum crossed with two specification operations), not a sorting convention with arbitrary cell boundaries. The empirical commitment that follows is testable: the six cells should carry differential predictions about role survival, content redefinition, and rubric-revision pressure that a sorting-convention typology would not license. The case-level co-occurrence pattern reported in §3.2 and the family-vs-capability cross-lens contrast in §6.4 are the first such tests.</w:t>
      </w:r>
    </w:p>
    <w:p>
      <w:r>
        <w:rPr>
          <w:i/>
        </w:rPr>
        <w:t>Operational pragmatics.</w:t>
      </w:r>
      <w:r>
        <w:t xml:space="preserve"> Six is the smallest scheme that lets the four allocation states be coded separately (collapsing them loses the deductively anchored continuum) and lets segmentation and consolidation be coded as distinct specification operations (collapsing them loses the inductively emergent finding). Adding a seventh status (e.g., role </w:t>
      </w:r>
      <w:r>
        <w:rPr>
          <w:i/>
        </w:rPr>
        <w:t>creation</w:t>
      </w:r>
      <w:r>
        <w:t xml:space="preserve"> or </w:t>
      </w:r>
      <w:r>
        <w:rPr>
          <w:i/>
        </w:rPr>
        <w:t>destruction</w:t>
      </w:r>
      <w:r>
        <w:t>) would either duplicate the allocation states or push reliability further down; the existing six already register substantial per-status κ disagreement on transition-coded categories (§6.2).</w:t>
      </w:r>
    </w:p>
    <w:p>
      <w:r>
        <w:rPr>
          <w:i/>
        </w:rPr>
        <w:t>Version history.</w:t>
      </w:r>
      <w:r>
        <w:t xml:space="preserve"> v0.1 carried the four allocation states; v0.2 added </w:t>
      </w:r>
      <w:r>
        <w:rPr>
          <w:i/>
        </w:rPr>
        <w:t>split pressure</w:t>
      </w:r>
      <w:r>
        <w:t xml:space="preserve">; v0.3 added </w:t>
      </w:r>
      <w:r>
        <w:rPr>
          <w:i/>
        </w:rPr>
        <w:t>merge pressure</w:t>
      </w:r>
      <w:r>
        <w:t xml:space="preserve">; v0.4 tightened the conditional-vs-transformed tie-breaker after Appendix B's reliability pass. Split pressure is recorded when (a) at least two cases within the same primary AI capability show status divergence across conflated sub-activities and (b) the divergence reflects distinct sub-activities rather than magnitude variation; </w:t>
      </w:r>
      <w:r>
        <w:rPr>
          <w:i/>
        </w:rPr>
        <w:t>corpus pluralist</w:t>
      </w:r>
      <w:r>
        <w:t xml:space="preserve"> fails (b) and is excluded. Merge pressure is recorded when evidence for two roles is inseparable within a single case. A date-stamped codebook version history is released with the database. The four-case pilot also served as coder-development: the first coder re-coded Cases 1 and 2 under v0.4 to verify earlier codings remained stable; full-corpus stability is a v1.2 commitment.</w:t>
      </w:r>
    </w:p>
    <w:p>
      <w:pPr>
        <w:pStyle w:val="Heading2"/>
      </w:pPr>
      <w:r>
        <w:t>2.4 Construct form, scope conditions, and edge cases</w:t>
      </w:r>
    </w:p>
    <w:p>
      <w:r>
        <w:t xml:space="preserve">The six statuses constitute a categorical typology (Doty &amp; Glick, 1994); cells are mutually exclusive within applicable (role × case) cells but the typology is not exhaustive (37 cells coded </w:t>
      </w:r>
      <w:r>
        <w:rPr>
          <w:i/>
        </w:rPr>
        <w:t>unclear</w:t>
      </w:r>
      <w:r>
        <w:t xml:space="preserve">, 316 </w:t>
      </w:r>
      <w:r>
        <w:rPr>
          <w:i/>
        </w:rPr>
        <w:t>not_applicable</w:t>
      </w:r>
      <w:r>
        <w:t xml:space="preserve">), so </w:t>
      </w:r>
      <w:r>
        <w:rPr>
          <w:i/>
        </w:rPr>
        <w:t>V</w:t>
      </w:r>
      <w:r>
        <w:t xml:space="preserve"> values in §6 are read against the 259-cell observable-and-coded denominator. The anchor-status relationship is </w:t>
      </w:r>
      <w:r>
        <w:rPr>
          <w:i/>
        </w:rPr>
        <w:t>formative</w:t>
      </w:r>
      <w:r>
        <w:t xml:space="preserve"> (Edwards &amp; Bagozzi, 2000; Diamantopoulos &amp; Winklhofer, 2001): anchors </w:t>
      </w:r>
      <w:r>
        <w:rPr>
          <w:i/>
        </w:rPr>
        <w:t>constitute</w:t>
      </w:r>
      <w:r>
        <w:t xml:space="preserve"> the status rather than reflect a latent common cause, so the appropriate validity evidence is content-coverage (do the (a)/(b)/(c) indicators jointly span the status's behavioral surface?) and nomological prediction across case families, not internal consistency among indicators. The κ statistic in §6.2 therefore indexes </w:t>
      </w:r>
      <w:r>
        <w:rPr>
          <w:i/>
        </w:rPr>
        <w:t>coder-application reliability</w:t>
      </w:r>
      <w:r>
        <w:t xml:space="preserve"> of a formative classifier rather than indicator-trait consistency of a reflective scale, which is why a κ-failure can coexist with construct validity that the v1.1 within-case extension is designed to test. The rubric codes the </w:t>
      </w:r>
      <w:r>
        <w:rPr>
          <w:i/>
        </w:rPr>
        <w:t>ostensive</w:t>
      </w:r>
      <w:r>
        <w:t xml:space="preserve"> aspect of role behavior in the Feldman &amp; Pentland (2003) sense — the abstract pattern as case authors describe it — not the </w:t>
      </w:r>
      <w:r>
        <w:rPr>
          <w:i/>
        </w:rPr>
        <w:t>performative</w:t>
      </w:r>
      <w:r>
        <w:t xml:space="preserve"> aspect; the κ failure on </w:t>
      </w:r>
      <w:r>
        <w:rPr>
          <w:i/>
        </w:rPr>
        <w:t>conditional</w:t>
      </w:r>
      <w:r>
        <w:t xml:space="preserve"> and </w:t>
      </w:r>
      <w:r>
        <w:rPr>
          <w:i/>
        </w:rPr>
        <w:t>transformed</w:t>
      </w:r>
      <w:r>
        <w:t xml:space="preserve"> (§6) is partly diagnostic of that scope. The codings are single-snapshot slices presupposing local equilibrium; for cases where the role is co-constituted with an iteratively-updated learning algorithm (Faraj &amp; Pachidi, 2021), the snapshot may be a moment in ongoing co-evolution, and the v1.1 two-snapshot transition-direction test is the appropriate instrument. The audit codes at the activity-level role, jointly across the individual and team performer level; the v1.1 within-case extension flagged in §6 separates the two. The </w:t>
      </w:r>
      <w:r>
        <w:rPr>
          <w:i/>
        </w:rPr>
        <w:t>transformed</w:t>
      </w:r>
      <w:r>
        <w:t xml:space="preserve"> anchor's before/after language is scope-conditioned to author-stated retrospective verb-swap or new-sub-task language quotable from the case file, not to observed longitudinal transition.</w:t>
      </w:r>
    </w:p>
    <w:p>
      <w:r>
        <w:t xml:space="preserve">The framework's role-status codings are licensed for (i) published or preprinted research-workflow cases where AI involvement is visibly identified as such; (ii) the 2024–2026 capability window; (iii) English-language venues. The framework is </w:t>
      </w:r>
      <w:r>
        <w:rPr>
          <w:i/>
        </w:rPr>
        <w:t>not</w:t>
      </w:r>
      <w:r>
        <w:t xml:space="preserve"> licensed for industry-internal or quietly-deployed AI-in-research workflows; pre-2024 cases where the </w:t>
      </w:r>
      <w:r>
        <w:rPr>
          <w:i/>
        </w:rPr>
        <w:t>transformed</w:t>
      </w:r>
      <w:r>
        <w:t xml:space="preserve"> anchor would be coded against an unobserved baseline; substantive subfields outside the eight case-family clusters represented (e.g., bench biology, formal economics); or cross-occupation aggregation, which presupposes occupational invariance the audit has not established (the v1.1 occupational-coding extension is the appropriate instrument). Generalization beyond these scope conditions is empirically open, not assumed.</w:t>
      </w:r>
    </w:p>
    <w:p>
      <w:r>
        <w:t xml:space="preserve">Three edge cases required explicit adjudication rules: (i) </w:t>
      </w:r>
      <w:r>
        <w:rPr>
          <w:i/>
        </w:rPr>
        <w:t>multi-version cases</w:t>
      </w:r>
      <w:r>
        <w:t xml:space="preserve"> — for preprints that later appeared in a peer-reviewed venue (Cases 25, 32, 34), we coded the version on which the empirical evidence is strongest, recording the version selection in the case registry; (ii) </w:t>
      </w:r>
      <w:r>
        <w:rPr>
          <w:i/>
        </w:rPr>
        <w:t>joint-performance cases</w:t>
      </w:r>
      <w:r>
        <w:t xml:space="preserve"> where human and AI co-execute the role without a clean lead performer are coded </w:t>
      </w:r>
      <w:r>
        <w:rPr>
          <w:i/>
        </w:rPr>
        <w:t>conditional</w:t>
      </w:r>
      <w:r>
        <w:t xml:space="preserve"> by default, flagged so a second coder can reopen the decision; (iii) </w:t>
      </w:r>
      <w:r>
        <w:rPr>
          <w:i/>
        </w:rPr>
        <w:t>cases that redefine the role mid-analysis</w:t>
      </w:r>
      <w:r>
        <w:t xml:space="preserve"> (Xiao, n.d., 150-agent multiverse is the clearest instance) are coded on the final role definition used for the paper's inferences. Approximately 28 of the 612 cells are tagged with one of these three edge-case notes in the released database.</w:t>
      </w:r>
    </w:p>
    <w:p>
      <w:pPr>
        <w:pStyle w:val="Heading2"/>
      </w:pPr>
      <w:r>
        <w:t>2.5 Decision flow and rubric</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the downstream pressure that </w:t>
      </w:r>
      <w:r>
        <w:rPr>
          <w:i/>
        </w:rPr>
        <w:t>split</w:t>
      </w:r>
      <w:r>
        <w:t xml:space="preserve"> and </w:t>
      </w:r>
      <w:r>
        <w:rPr>
          <w:i/>
        </w:rPr>
        <w:t>merge</w:t>
      </w:r>
      <w:r>
        <w:t xml:space="preserve"> codings place on the rubric itself. Table 1 specifies the rubric's diagnostic criteria by status.</w:t>
      </w:r>
    </w:p>
    <w:p>
      <w:r>
        <w:t>[Image not found: figure_1_decision_flow.png]</w:t>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Status</w:t>
            </w:r>
          </w:p>
        </w:tc>
        <w:tc>
          <w:tcPr>
            <w:tcW w:type="dxa" w:w="2160"/>
          </w:tcPr>
          <w:p>
            <w:r>
              <w:rPr>
                <w:b/>
              </w:rPr>
            </w:r>
            <w:r>
              <w:rPr>
                <w:b/>
              </w:rPr>
              <w:t>Operational definition</w:t>
            </w:r>
          </w:p>
        </w:tc>
        <w:tc>
          <w:tcPr>
            <w:tcW w:type="dxa" w:w="2160"/>
          </w:tcPr>
          <w:p>
            <w:r>
              <w:rPr>
                <w:b/>
              </w:rPr>
            </w:r>
            <w:r>
              <w:rPr>
                <w:b/>
              </w:rPr>
              <w:t>Diagnostic criterion — signature pattern and its behavioral indicators</w:t>
            </w:r>
          </w:p>
        </w:tc>
        <w:tc>
          <w:tcPr>
            <w:tcW w:type="dxa" w:w="2160"/>
          </w:tcPr>
          <w:p>
            <w:r>
              <w:rPr>
                <w:b/>
              </w:rPr>
            </w:r>
            <w:r>
              <w:rPr>
                <w:b/>
              </w:rPr>
              <w:t xml:space="preserve">Counter-indicator (evidence </w:t>
            </w:r>
            <w:r>
              <w:rPr>
                <w:b/>
                <w:i/>
              </w:rPr>
              <w:t>against</w:t>
            </w:r>
            <w:r>
              <w:rPr>
                <w:b/>
              </w:rPr>
              <w:t>)</w:t>
            </w:r>
          </w:p>
        </w:tc>
      </w:tr>
      <w:tr>
        <w:tc>
          <w:tcPr>
            <w:tcW w:type="dxa" w:w="2160"/>
          </w:tcPr>
          <w:p>
            <w:r/>
            <w:r>
              <w:t>Robust</w:t>
            </w:r>
          </w:p>
        </w:tc>
        <w:tc>
          <w:tcPr>
            <w:tcW w:type="dxa" w:w="2160"/>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2160"/>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160"/>
          </w:tcPr>
          <w:p>
            <w:r/>
            <w:r>
              <w:t>Case reports AI performing the role without human checking and reports no validity loss.</w:t>
            </w:r>
          </w:p>
        </w:tc>
      </w:tr>
      <w:tr>
        <w:tc>
          <w:tcPr>
            <w:tcW w:type="dxa" w:w="2160"/>
          </w:tcPr>
          <w:p>
            <w:r/>
            <w:r>
              <w:t>Conditional</w:t>
            </w:r>
          </w:p>
        </w:tc>
        <w:tc>
          <w:tcPr>
            <w:tcW w:type="dxa" w:w="2160"/>
          </w:tcPr>
          <w:p>
            <w:r/>
            <w:r>
              <w:t>The role is performed by humans contingent on specified moderators (task features, data quality, institutional setting); AI can partially substitute outside those moderators.</w:t>
            </w:r>
          </w:p>
        </w:tc>
        <w:tc>
          <w:tcPr>
            <w:tcW w:type="dxa" w:w="2160"/>
          </w:tcPr>
          <w:p>
            <w:r/>
            <w:r>
              <w:t>(a) Case specifies the conditions under which human performance is needed; (b) reports empirical variation in AI adequacy across those conditions; (c) retains a human-in-the-loop step for edge cases.</w:t>
            </w:r>
          </w:p>
        </w:tc>
        <w:tc>
          <w:tcPr>
            <w:tcW w:type="dxa" w:w="2160"/>
          </w:tcPr>
          <w:p>
            <w:r/>
            <w:r>
              <w:t>Case reports blanket human or blanket AI performance with no moderator analysis.</w:t>
            </w:r>
          </w:p>
        </w:tc>
      </w:tr>
      <w:tr>
        <w:tc>
          <w:tcPr>
            <w:tcW w:type="dxa" w:w="2160"/>
          </w:tcPr>
          <w:p>
            <w:r/>
            <w:r>
              <w:t>Transformed</w:t>
            </w:r>
          </w:p>
        </w:tc>
        <w:tc>
          <w:tcPr>
            <w:tcW w:type="dxa" w:w="2160"/>
          </w:tcPr>
          <w:p>
            <w:r/>
            <w:r>
              <w:t>The role persists but its content has been redefined around AI involvement (e.g., from drafting to reviewing, from coding to auditing, from authoring to disclosing).</w:t>
            </w:r>
          </w:p>
        </w:tc>
        <w:tc>
          <w:tcPr>
            <w:tcW w:type="dxa" w:w="2160"/>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160"/>
          </w:tcPr>
          <w:p>
            <w:r/>
            <w:r>
              <w:t>Case reports the role as unchanged, or reports it as absent.</w:t>
            </w:r>
          </w:p>
        </w:tc>
      </w:tr>
      <w:tr>
        <w:tc>
          <w:tcPr>
            <w:tcW w:type="dxa" w:w="2160"/>
          </w:tcPr>
          <w:p>
            <w:r/>
            <w:r>
              <w:t>Shrinking</w:t>
            </w:r>
          </w:p>
        </w:tc>
        <w:tc>
          <w:tcPr>
            <w:tcW w:type="dxa" w:w="2160"/>
          </w:tcPr>
          <w:p>
            <w:r/>
            <w:r>
              <w:t>The task-cluster is increasingly performed by AI with human labor reduced to audit or exception handling; the role label is retained but its scope has contracted.</w:t>
            </w:r>
          </w:p>
        </w:tc>
        <w:tc>
          <w:tcPr>
            <w:tcW w:type="dxa" w:w="2160"/>
          </w:tcPr>
          <w:p>
            <w:r/>
            <w:r>
              <w:t>(a) Public ground truth or high-consensus targets exist; (b) case reports AI matching or exceeding human performance on a defined subset; (c) residual human labor is characterized as rescue, triage, or verification.</w:t>
            </w:r>
          </w:p>
        </w:tc>
        <w:tc>
          <w:tcPr>
            <w:tcW w:type="dxa" w:w="2160"/>
          </w:tcPr>
          <w:p>
            <w:r/>
            <w:r>
              <w:t>No public ground truth; disagreement across coders is the inferential object.</w:t>
            </w:r>
          </w:p>
        </w:tc>
      </w:tr>
      <w:tr>
        <w:tc>
          <w:tcPr>
            <w:tcW w:type="dxa" w:w="2160"/>
          </w:tcPr>
          <w:p>
            <w:r/>
            <w:r>
              <w:t>Split pressure</w:t>
            </w:r>
          </w:p>
        </w:tc>
        <w:tc>
          <w:tcPr>
            <w:tcW w:type="dxa" w:w="2160"/>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2160"/>
          </w:tcPr>
          <w:p>
            <w:r/>
            <w:r>
              <w:t>(a) AI performance differs systematically across the conflated sub-activities; (b) the case's own analysis distinguishes them; (c) collapsing them back into one role loses substantive information.</w:t>
            </w:r>
          </w:p>
        </w:tc>
        <w:tc>
          <w:tcPr>
            <w:tcW w:type="dxa" w:w="2160"/>
          </w:tcPr>
          <w:p>
            <w:r/>
            <w:r>
              <w:t>Case treats the role as indivisible and the evidence supports that treatment.</w:t>
            </w:r>
          </w:p>
        </w:tc>
      </w:tr>
      <w:tr>
        <w:tc>
          <w:tcPr>
            <w:tcW w:type="dxa" w:w="2160"/>
          </w:tcPr>
          <w:p>
            <w:r/>
            <w:r>
              <w:t>Merge pressure</w:t>
            </w:r>
          </w:p>
        </w:tc>
        <w:tc>
          <w:tcPr>
            <w:tcW w:type="dxa" w:w="2160"/>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2160"/>
          </w:tcPr>
          <w:p>
            <w:r/>
            <w:r>
              <w:t>(a) The case's evidence for one role is inseparable from evidence for the other; (b) attempting to code them independently produces arbitrary splits; (c) the case authors themselves treat the two as a joint object.</w:t>
            </w:r>
          </w:p>
        </w:tc>
        <w:tc>
          <w:tcPr>
            <w:tcW w:type="dxa" w:w="2160"/>
          </w:tcPr>
          <w:p>
            <w:r/>
            <w:r>
              <w:t>The two roles are coded independently with no loss of information.</w:t>
            </w:r>
          </w:p>
        </w:tc>
      </w:tr>
    </w:tbl>
    <w:p/>
    <w:p>
      <w:r>
        <w:rPr>
          <w:i/>
        </w:rPr>
        <w:t>Firing rule.</w:t>
      </w:r>
      <w:r>
        <w:t xml:space="preserve"> A status fires for a (role × case) cell when at least one of its (a)/(b)/(c) diagnostic indicators is documented with a quotable sentence from the case file </w:t>
      </w:r>
      <w:r>
        <w:rPr>
          <w:i/>
        </w:rPr>
        <w:t>and</w:t>
      </w:r>
      <w:r>
        <w:t xml:space="preserve"> the status's counter-indicator does not fire on the same cell. When indicators for two statuses both fire on the same cell — the empirically common case being </w:t>
      </w:r>
      <w:r>
        <w:rPr>
          <w:i/>
        </w:rPr>
        <w:t>conditional</w:t>
      </w:r>
      <w:r>
        <w:t xml:space="preserve"> and </w:t>
      </w:r>
      <w:r>
        <w:rPr>
          <w:i/>
        </w:rPr>
        <w:t>transformed</w:t>
      </w:r>
      <w:r>
        <w:t xml:space="preserve"> — the three-part tie-breaker below is applied. When no status's indicator fires </w:t>
      </w:r>
      <w:r>
        <w:rPr>
          <w:i/>
        </w:rPr>
        <w:t>and</w:t>
      </w:r>
      <w:r>
        <w:t xml:space="preserve"> no counter-indicator fires (i.e., the case file is silent on the role's anchors), the cell defaults to </w:t>
      </w:r>
      <w:r>
        <w:rPr>
          <w:i/>
        </w:rPr>
        <w:t>unclear</w:t>
      </w:r>
      <w:r>
        <w:t xml:space="preserve"> rather than to </w:t>
      </w:r>
      <w:r>
        <w:rPr>
          <w:i/>
        </w:rPr>
        <w:t>not_applicable</w:t>
      </w:r>
      <w:r>
        <w:t xml:space="preserve">: silence licenses neither a positive status assignment nor an exclusion from the observable denominator. Cells coded </w:t>
      </w:r>
      <w:r>
        <w:rPr>
          <w:i/>
        </w:rPr>
        <w:t>not_applicable</w:t>
      </w:r>
      <w:r>
        <w:t xml:space="preserve"> additionally require the case to give positive evidence that the role is outside the study's scope (e.g., a single-author commentary has no </w:t>
      </w:r>
      <w:r>
        <w:rPr>
          <w:i/>
        </w:rPr>
        <w:t>labor-allocator</w:t>
      </w:r>
      <w:r>
        <w:t xml:space="preserve"> role-cell to code).</w:t>
      </w:r>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i/>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i/>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Role</w:t>
            </w:r>
          </w:p>
        </w:tc>
        <w:tc>
          <w:tcPr>
            <w:tcW w:type="dxa" w:w="864"/>
          </w:tcPr>
          <w:p>
            <w:r>
              <w:rPr>
                <w:b/>
              </w:rPr>
            </w:r>
            <w:r>
              <w:rPr>
                <w:b/>
              </w:rPr>
              <w:t>Role group</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Relevance adjudicator</w:t>
            </w:r>
          </w:p>
        </w:tc>
        <w:tc>
          <w:tcPr>
            <w:tcW w:type="dxa" w:w="864"/>
          </w:tcPr>
          <w:p>
            <w:r/>
            <w:r>
              <w:t>starting_role</w:t>
            </w:r>
          </w:p>
        </w:tc>
        <w:tc>
          <w:tcPr>
            <w:tcW w:type="dxa" w:w="864"/>
          </w:tcPr>
          <w:p>
            <w:r/>
            <w:r>
              <w:t>1</w:t>
            </w:r>
          </w:p>
        </w:tc>
        <w:tc>
          <w:tcPr>
            <w:tcW w:type="dxa" w:w="864"/>
          </w:tcPr>
          <w:p>
            <w:r/>
            <w:r>
              <w:t>8</w:t>
            </w:r>
          </w:p>
        </w:tc>
        <w:tc>
          <w:tcPr>
            <w:tcW w:type="dxa" w:w="864"/>
          </w:tcPr>
          <w:p>
            <w:r/>
            <w:r>
              <w:t>3</w:t>
            </w:r>
          </w:p>
        </w:tc>
        <w:tc>
          <w:tcPr>
            <w:tcW w:type="dxa" w:w="864"/>
          </w:tcPr>
          <w:p>
            <w:r/>
            <w:r>
              <w:t>0</w:t>
            </w:r>
          </w:p>
        </w:tc>
        <w:tc>
          <w:tcPr>
            <w:tcW w:type="dxa" w:w="864"/>
          </w:tcPr>
          <w:p>
            <w:r/>
            <w:r>
              <w:t>1</w:t>
            </w:r>
          </w:p>
        </w:tc>
        <w:tc>
          <w:tcPr>
            <w:tcW w:type="dxa" w:w="864"/>
          </w:tcPr>
          <w:p>
            <w:r/>
            <w:r>
              <w:t>0</w:t>
            </w:r>
          </w:p>
        </w:tc>
        <w:tc>
          <w:tcPr>
            <w:tcW w:type="dxa" w:w="864"/>
          </w:tcPr>
          <w:p>
            <w:r/>
            <w:r>
              <w:t>6</w:t>
            </w:r>
          </w:p>
        </w:tc>
        <w:tc>
          <w:tcPr>
            <w:tcW w:type="dxa" w:w="864"/>
          </w:tcPr>
          <w:p>
            <w:r/>
            <w:r>
              <w:t>17</w:t>
            </w:r>
          </w:p>
        </w:tc>
      </w:tr>
      <w:tr>
        <w:tc>
          <w:tcPr>
            <w:tcW w:type="dxa" w:w="864"/>
          </w:tcPr>
          <w:p>
            <w:r/>
            <w:r>
              <w:t>Mechanism disciplinarian</w:t>
            </w:r>
          </w:p>
        </w:tc>
        <w:tc>
          <w:tcPr>
            <w:tcW w:type="dxa" w:w="864"/>
          </w:tcPr>
          <w:p>
            <w:r/>
            <w:r>
              <w:t>starting_role</w:t>
            </w:r>
          </w:p>
        </w:tc>
        <w:tc>
          <w:tcPr>
            <w:tcW w:type="dxa" w:w="864"/>
          </w:tcPr>
          <w:p>
            <w:r/>
            <w:r>
              <w:t>2</w:t>
            </w:r>
          </w:p>
        </w:tc>
        <w:tc>
          <w:tcPr>
            <w:tcW w:type="dxa" w:w="864"/>
          </w:tcPr>
          <w:p>
            <w:r/>
            <w:r>
              <w:t>6</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4</w:t>
            </w:r>
          </w:p>
        </w:tc>
        <w:tc>
          <w:tcPr>
            <w:tcW w:type="dxa" w:w="864"/>
          </w:tcPr>
          <w:p>
            <w:r/>
            <w:r>
              <w:t>18</w:t>
            </w:r>
          </w:p>
        </w:tc>
      </w:tr>
      <w:tr>
        <w:tc>
          <w:tcPr>
            <w:tcW w:type="dxa" w:w="864"/>
          </w:tcPr>
          <w:p>
            <w:r/>
            <w:r>
              <w:t>Construct and perspective boundary setter</w:t>
            </w:r>
          </w:p>
        </w:tc>
        <w:tc>
          <w:tcPr>
            <w:tcW w:type="dxa" w:w="864"/>
          </w:tcPr>
          <w:p>
            <w:r/>
            <w:r>
              <w:t>starting_role</w:t>
            </w:r>
          </w:p>
        </w:tc>
        <w:tc>
          <w:tcPr>
            <w:tcW w:type="dxa" w:w="864"/>
          </w:tcPr>
          <w:p>
            <w:r/>
            <w:r>
              <w:t>3</w:t>
            </w:r>
          </w:p>
        </w:tc>
        <w:tc>
          <w:tcPr>
            <w:tcW w:type="dxa" w:w="864"/>
          </w:tcPr>
          <w:p>
            <w:r/>
            <w:r>
              <w:t>4</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1</w:t>
            </w:r>
          </w:p>
        </w:tc>
        <w:tc>
          <w:tcPr>
            <w:tcW w:type="dxa" w:w="864"/>
          </w:tcPr>
          <w:p>
            <w:r/>
            <w:r>
              <w:t>22</w:t>
            </w:r>
          </w:p>
        </w:tc>
      </w:tr>
      <w:tr>
        <w:tc>
          <w:tcPr>
            <w:tcW w:type="dxa" w:w="864"/>
          </w:tcPr>
          <w:p>
            <w:r/>
            <w:r>
              <w:t>Corpus pluralist</w:t>
            </w:r>
          </w:p>
        </w:tc>
        <w:tc>
          <w:tcPr>
            <w:tcW w:type="dxa" w:w="864"/>
          </w:tcPr>
          <w:p>
            <w:r/>
            <w:r>
              <w:t>starting_role</w:t>
            </w:r>
          </w:p>
        </w:tc>
        <w:tc>
          <w:tcPr>
            <w:tcW w:type="dxa" w:w="864"/>
          </w:tcPr>
          <w:p>
            <w:r/>
            <w:r>
              <w:t>2</w:t>
            </w:r>
          </w:p>
        </w:tc>
        <w:tc>
          <w:tcPr>
            <w:tcW w:type="dxa" w:w="864"/>
          </w:tcPr>
          <w:p>
            <w:r/>
            <w:r>
              <w:t>7</w:t>
            </w:r>
          </w:p>
        </w:tc>
        <w:tc>
          <w:tcPr>
            <w:tcW w:type="dxa" w:w="864"/>
          </w:tcPr>
          <w:p>
            <w:r/>
            <w:r>
              <w:t>2</w:t>
            </w:r>
          </w:p>
        </w:tc>
        <w:tc>
          <w:tcPr>
            <w:tcW w:type="dxa" w:w="864"/>
          </w:tcPr>
          <w:p>
            <w:r/>
            <w:r>
              <w:t>0</w:t>
            </w:r>
          </w:p>
        </w:tc>
        <w:tc>
          <w:tcPr>
            <w:tcW w:type="dxa" w:w="864"/>
          </w:tcPr>
          <w:p>
            <w:r/>
            <w:r>
              <w:t>0</w:t>
            </w:r>
          </w:p>
        </w:tc>
        <w:tc>
          <w:tcPr>
            <w:tcW w:type="dxa" w:w="864"/>
          </w:tcPr>
          <w:p>
            <w:r/>
            <w:r>
              <w:t>0</w:t>
            </w:r>
          </w:p>
        </w:tc>
        <w:tc>
          <w:tcPr>
            <w:tcW w:type="dxa" w:w="864"/>
          </w:tcPr>
          <w:p>
            <w:r/>
            <w:r>
              <w:t>2</w:t>
            </w:r>
          </w:p>
        </w:tc>
        <w:tc>
          <w:tcPr>
            <w:tcW w:type="dxa" w:w="864"/>
          </w:tcPr>
          <w:p>
            <w:r/>
            <w:r>
              <w:t>23</w:t>
            </w:r>
          </w:p>
        </w:tc>
      </w:tr>
      <w:tr>
        <w:tc>
          <w:tcPr>
            <w:tcW w:type="dxa" w:w="864"/>
          </w:tcPr>
          <w:p>
            <w:r/>
            <w:r>
              <w:t>Protocol and provenance architect</w:t>
            </w:r>
          </w:p>
        </w:tc>
        <w:tc>
          <w:tcPr>
            <w:tcW w:type="dxa" w:w="864"/>
          </w:tcPr>
          <w:p>
            <w:r/>
            <w:r>
              <w:t>starting_role</w:t>
            </w:r>
          </w:p>
        </w:tc>
        <w:tc>
          <w:tcPr>
            <w:tcW w:type="dxa" w:w="864"/>
          </w:tcPr>
          <w:p>
            <w:r/>
            <w:r>
              <w:t>15</w:t>
            </w:r>
          </w:p>
        </w:tc>
        <w:tc>
          <w:tcPr>
            <w:tcW w:type="dxa" w:w="864"/>
          </w:tcPr>
          <w:p>
            <w:r/>
            <w:r>
              <w:t>5</w:t>
            </w:r>
          </w:p>
        </w:tc>
        <w:tc>
          <w:tcPr>
            <w:tcW w:type="dxa" w:w="864"/>
          </w:tcPr>
          <w:p>
            <w:r/>
            <w:r>
              <w:t>7</w:t>
            </w:r>
          </w:p>
        </w:tc>
        <w:tc>
          <w:tcPr>
            <w:tcW w:type="dxa" w:w="864"/>
          </w:tcPr>
          <w:p>
            <w:r/>
            <w:r>
              <w:t>0</w:t>
            </w:r>
          </w:p>
        </w:tc>
        <w:tc>
          <w:tcPr>
            <w:tcW w:type="dxa" w:w="864"/>
          </w:tcPr>
          <w:p>
            <w:r/>
            <w:r>
              <w:t>4</w:t>
            </w:r>
          </w:p>
        </w:tc>
        <w:tc>
          <w:tcPr>
            <w:tcW w:type="dxa" w:w="864"/>
          </w:tcPr>
          <w:p>
            <w:r/>
            <w:r>
              <w:t>1</w:t>
            </w:r>
          </w:p>
        </w:tc>
        <w:tc>
          <w:tcPr>
            <w:tcW w:type="dxa" w:w="864"/>
          </w:tcPr>
          <w:p>
            <w:r/>
            <w:r>
              <w:t>1</w:t>
            </w:r>
          </w:p>
        </w:tc>
        <w:tc>
          <w:tcPr>
            <w:tcW w:type="dxa" w:w="864"/>
          </w:tcPr>
          <w:p>
            <w:r/>
            <w:r>
              <w:t>3</w:t>
            </w:r>
          </w:p>
        </w:tc>
      </w:tr>
      <w:tr>
        <w:tc>
          <w:tcPr>
            <w:tcW w:type="dxa" w:w="864"/>
          </w:tcPr>
          <w:p>
            <w:r/>
            <w:r>
              <w:t>Counterfactual and transportability judge</w:t>
            </w:r>
          </w:p>
        </w:tc>
        <w:tc>
          <w:tcPr>
            <w:tcW w:type="dxa" w:w="864"/>
          </w:tcPr>
          <w:p>
            <w:r/>
            <w:r>
              <w:t>starting_role</w:t>
            </w:r>
          </w:p>
        </w:tc>
        <w:tc>
          <w:tcPr>
            <w:tcW w:type="dxa" w:w="864"/>
          </w:tcPr>
          <w:p>
            <w:r/>
            <w:r>
              <w:t>2</w:t>
            </w:r>
          </w:p>
        </w:tc>
        <w:tc>
          <w:tcPr>
            <w:tcW w:type="dxa" w:w="864"/>
          </w:tcPr>
          <w:p>
            <w:r/>
            <w:r>
              <w:t>11</w:t>
            </w:r>
          </w:p>
        </w:tc>
        <w:tc>
          <w:tcPr>
            <w:tcW w:type="dxa" w:w="864"/>
          </w:tcPr>
          <w:p>
            <w:r/>
            <w:r>
              <w:t>2</w:t>
            </w:r>
          </w:p>
        </w:tc>
        <w:tc>
          <w:tcPr>
            <w:tcW w:type="dxa" w:w="864"/>
          </w:tcPr>
          <w:p>
            <w:r/>
            <w:r>
              <w:t>0</w:t>
            </w:r>
          </w:p>
        </w:tc>
        <w:tc>
          <w:tcPr>
            <w:tcW w:type="dxa" w:w="864"/>
          </w:tcPr>
          <w:p>
            <w:r/>
            <w:r>
              <w:t>3</w:t>
            </w:r>
          </w:p>
        </w:tc>
        <w:tc>
          <w:tcPr>
            <w:tcW w:type="dxa" w:w="864"/>
          </w:tcPr>
          <w:p>
            <w:r/>
            <w:r>
              <w:t>0</w:t>
            </w:r>
          </w:p>
        </w:tc>
        <w:tc>
          <w:tcPr>
            <w:tcW w:type="dxa" w:w="864"/>
          </w:tcPr>
          <w:p>
            <w:r/>
            <w:r>
              <w:t>0</w:t>
            </w:r>
          </w:p>
        </w:tc>
        <w:tc>
          <w:tcPr>
            <w:tcW w:type="dxa" w:w="864"/>
          </w:tcPr>
          <w:p>
            <w:r/>
            <w:r>
              <w:t>18</w:t>
            </w:r>
          </w:p>
        </w:tc>
      </w:tr>
      <w:tr>
        <w:tc>
          <w:tcPr>
            <w:tcW w:type="dxa" w:w="864"/>
          </w:tcPr>
          <w:p>
            <w:r/>
            <w:r>
              <w:t>Situated interlocutor / context witness</w:t>
            </w:r>
          </w:p>
        </w:tc>
        <w:tc>
          <w:tcPr>
            <w:tcW w:type="dxa" w:w="864"/>
          </w:tcPr>
          <w:p>
            <w:r/>
            <w:r>
              <w:t>starting_role</w:t>
            </w:r>
          </w:p>
        </w:tc>
        <w:tc>
          <w:tcPr>
            <w:tcW w:type="dxa" w:w="864"/>
          </w:tcPr>
          <w:p>
            <w:r/>
            <w:r>
              <w:t>4</w:t>
            </w:r>
          </w:p>
        </w:tc>
        <w:tc>
          <w:tcPr>
            <w:tcW w:type="dxa" w:w="864"/>
          </w:tcPr>
          <w:p>
            <w:r/>
            <w:r>
              <w:t>2</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27</w:t>
            </w:r>
          </w:p>
        </w:tc>
      </w:tr>
      <w:tr>
        <w:tc>
          <w:tcPr>
            <w:tcW w:type="dxa" w:w="864"/>
          </w:tcPr>
          <w:p>
            <w:r/>
            <w:r>
              <w:t>Accountability and labor allocator</w:t>
            </w:r>
          </w:p>
        </w:tc>
        <w:tc>
          <w:tcPr>
            <w:tcW w:type="dxa" w:w="864"/>
          </w:tcPr>
          <w:p>
            <w:r/>
            <w:r>
              <w:t>starting_role</w:t>
            </w:r>
          </w:p>
        </w:tc>
        <w:tc>
          <w:tcPr>
            <w:tcW w:type="dxa" w:w="864"/>
          </w:tcPr>
          <w:p>
            <w:r/>
            <w:r>
              <w:t>5</w:t>
            </w:r>
          </w:p>
        </w:tc>
        <w:tc>
          <w:tcPr>
            <w:tcW w:type="dxa" w:w="864"/>
          </w:tcPr>
          <w:p>
            <w:r/>
            <w:r>
              <w:t>8</w:t>
            </w:r>
          </w:p>
        </w:tc>
        <w:tc>
          <w:tcPr>
            <w:tcW w:type="dxa" w:w="864"/>
          </w:tcPr>
          <w:p>
            <w:r/>
            <w:r>
              <w:t>7</w:t>
            </w:r>
          </w:p>
        </w:tc>
        <w:tc>
          <w:tcPr>
            <w:tcW w:type="dxa" w:w="864"/>
          </w:tcPr>
          <w:p>
            <w:r/>
            <w:r>
              <w:t>0</w:t>
            </w:r>
          </w:p>
        </w:tc>
        <w:tc>
          <w:tcPr>
            <w:tcW w:type="dxa" w:w="864"/>
          </w:tcPr>
          <w:p>
            <w:r/>
            <w:r>
              <w:t>6</w:t>
            </w:r>
          </w:p>
        </w:tc>
        <w:tc>
          <w:tcPr>
            <w:tcW w:type="dxa" w:w="864"/>
          </w:tcPr>
          <w:p>
            <w:r/>
            <w:r>
              <w:t>1</w:t>
            </w:r>
          </w:p>
        </w:tc>
        <w:tc>
          <w:tcPr>
            <w:tcW w:type="dxa" w:w="864"/>
          </w:tcPr>
          <w:p>
            <w:r/>
            <w:r>
              <w:t>7</w:t>
            </w:r>
          </w:p>
        </w:tc>
        <w:tc>
          <w:tcPr>
            <w:tcW w:type="dxa" w:w="864"/>
          </w:tcPr>
          <w:p>
            <w:r/>
            <w:r>
              <w:t>2</w:t>
            </w:r>
          </w:p>
        </w:tc>
      </w:tr>
      <w:tr>
        <w:tc>
          <w:tcPr>
            <w:tcW w:type="dxa" w:w="864"/>
          </w:tcPr>
          <w:p>
            <w:r/>
            <w:r>
              <w:t>Construct boundary setter</w:t>
            </w:r>
          </w:p>
        </w:tc>
        <w:tc>
          <w:tcPr>
            <w:tcW w:type="dxa" w:w="864"/>
          </w:tcPr>
          <w:p>
            <w:r/>
            <w:r>
              <w:t>split_candidate</w:t>
            </w:r>
          </w:p>
        </w:tc>
        <w:tc>
          <w:tcPr>
            <w:tcW w:type="dxa" w:w="864"/>
          </w:tcPr>
          <w:p>
            <w:r/>
            <w:r>
              <w:t>5</w:t>
            </w:r>
          </w:p>
        </w:tc>
        <w:tc>
          <w:tcPr>
            <w:tcW w:type="dxa" w:w="864"/>
          </w:tcPr>
          <w:p>
            <w:r/>
            <w:r>
              <w:t>5</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2</w:t>
            </w:r>
          </w:p>
        </w:tc>
        <w:tc>
          <w:tcPr>
            <w:tcW w:type="dxa" w:w="864"/>
          </w:tcPr>
          <w:p>
            <w:r/>
            <w:r>
              <w:t>21</w:t>
            </w:r>
          </w:p>
        </w:tc>
      </w:tr>
      <w:tr>
        <w:tc>
          <w:tcPr>
            <w:tcW w:type="dxa" w:w="864"/>
          </w:tcPr>
          <w:p>
            <w:r/>
            <w:r>
              <w:t>Perspective sampler</w:t>
            </w:r>
          </w:p>
        </w:tc>
        <w:tc>
          <w:tcPr>
            <w:tcW w:type="dxa" w:w="864"/>
          </w:tcPr>
          <w:p>
            <w:r/>
            <w:r>
              <w:t>split_candidate</w:t>
            </w:r>
          </w:p>
        </w:tc>
        <w:tc>
          <w:tcPr>
            <w:tcW w:type="dxa" w:w="864"/>
          </w:tcPr>
          <w:p>
            <w:r/>
            <w:r>
              <w:t>2</w:t>
            </w:r>
          </w:p>
        </w:tc>
        <w:tc>
          <w:tcPr>
            <w:tcW w:type="dxa" w:w="864"/>
          </w:tcPr>
          <w:p>
            <w:r/>
            <w:r>
              <w:t>2</w:t>
            </w:r>
          </w:p>
        </w:tc>
        <w:tc>
          <w:tcPr>
            <w:tcW w:type="dxa" w:w="864"/>
          </w:tcPr>
          <w:p>
            <w:r/>
            <w:r>
              <w:t>0</w:t>
            </w:r>
          </w:p>
        </w:tc>
        <w:tc>
          <w:tcPr>
            <w:tcW w:type="dxa" w:w="864"/>
          </w:tcPr>
          <w:p>
            <w:r/>
            <w:r>
              <w:t>0</w:t>
            </w:r>
          </w:p>
        </w:tc>
        <w:tc>
          <w:tcPr>
            <w:tcW w:type="dxa" w:w="864"/>
          </w:tcPr>
          <w:p>
            <w:r/>
            <w:r>
              <w:t>4</w:t>
            </w:r>
          </w:p>
        </w:tc>
        <w:tc>
          <w:tcPr>
            <w:tcW w:type="dxa" w:w="864"/>
          </w:tcPr>
          <w:p>
            <w:r/>
            <w:r>
              <w:t>0</w:t>
            </w:r>
          </w:p>
        </w:tc>
        <w:tc>
          <w:tcPr>
            <w:tcW w:type="dxa" w:w="864"/>
          </w:tcPr>
          <w:p>
            <w:r/>
            <w:r>
              <w:t>0</w:t>
            </w:r>
          </w:p>
        </w:tc>
        <w:tc>
          <w:tcPr>
            <w:tcW w:type="dxa" w:w="864"/>
          </w:tcPr>
          <w:p>
            <w:r/>
            <w:r>
              <w:t>28</w:t>
            </w:r>
          </w:p>
        </w:tc>
      </w:tr>
      <w:tr>
        <w:tc>
          <w:tcPr>
            <w:tcW w:type="dxa" w:w="864"/>
          </w:tcPr>
          <w:p>
            <w:r/>
            <w:r>
              <w:t>Counterfactual / transportability judge</w:t>
            </w:r>
          </w:p>
        </w:tc>
        <w:tc>
          <w:tcPr>
            <w:tcW w:type="dxa" w:w="864"/>
          </w:tcPr>
          <w:p>
            <w:r/>
            <w:r>
              <w:t>split_candidate</w:t>
            </w:r>
          </w:p>
        </w:tc>
        <w:tc>
          <w:tcPr>
            <w:tcW w:type="dxa" w:w="864"/>
          </w:tcPr>
          <w:p>
            <w:r/>
            <w:r>
              <w:t>0</w:t>
            </w:r>
          </w:p>
        </w:tc>
        <w:tc>
          <w:tcPr>
            <w:tcW w:type="dxa" w:w="864"/>
          </w:tcPr>
          <w:p>
            <w:r/>
            <w:r>
              <w:t>12</w:t>
            </w:r>
          </w:p>
        </w:tc>
        <w:tc>
          <w:tcPr>
            <w:tcW w:type="dxa" w:w="864"/>
          </w:tcPr>
          <w:p>
            <w:r/>
            <w:r>
              <w:t>0</w:t>
            </w:r>
          </w:p>
        </w:tc>
        <w:tc>
          <w:tcPr>
            <w:tcW w:type="dxa" w:w="864"/>
          </w:tcPr>
          <w:p>
            <w:r/>
            <w:r>
              <w:t>0</w:t>
            </w:r>
          </w:p>
        </w:tc>
        <w:tc>
          <w:tcPr>
            <w:tcW w:type="dxa" w:w="864"/>
          </w:tcPr>
          <w:p>
            <w:r/>
            <w:r>
              <w:t>3</w:t>
            </w:r>
          </w:p>
        </w:tc>
        <w:tc>
          <w:tcPr>
            <w:tcW w:type="dxa" w:w="864"/>
          </w:tcPr>
          <w:p>
            <w:r/>
            <w:r>
              <w:t>0</w:t>
            </w:r>
          </w:p>
        </w:tc>
        <w:tc>
          <w:tcPr>
            <w:tcW w:type="dxa" w:w="864"/>
          </w:tcPr>
          <w:p>
            <w:r/>
            <w:r>
              <w:t>4</w:t>
            </w:r>
          </w:p>
        </w:tc>
        <w:tc>
          <w:tcPr>
            <w:tcW w:type="dxa" w:w="864"/>
          </w:tcPr>
          <w:p>
            <w:r/>
            <w:r>
              <w:t>17</w:t>
            </w:r>
          </w:p>
        </w:tc>
      </w:tr>
      <w:tr>
        <w:tc>
          <w:tcPr>
            <w:tcW w:type="dxa" w:w="864"/>
          </w:tcPr>
          <w:p>
            <w:r/>
            <w:r>
              <w:t>Calibration architect</w:t>
            </w:r>
          </w:p>
        </w:tc>
        <w:tc>
          <w:tcPr>
            <w:tcW w:type="dxa" w:w="864"/>
          </w:tcPr>
          <w:p>
            <w:r/>
            <w:r>
              <w:t>split_candidate</w:t>
            </w:r>
          </w:p>
        </w:tc>
        <w:tc>
          <w:tcPr>
            <w:tcW w:type="dxa" w:w="864"/>
          </w:tcPr>
          <w:p>
            <w:r/>
            <w:r>
              <w:t>8</w:t>
            </w:r>
          </w:p>
        </w:tc>
        <w:tc>
          <w:tcPr>
            <w:tcW w:type="dxa" w:w="864"/>
          </w:tcPr>
          <w:p>
            <w:r/>
            <w:r>
              <w:t>10</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5</w:t>
            </w:r>
          </w:p>
        </w:tc>
        <w:tc>
          <w:tcPr>
            <w:tcW w:type="dxa" w:w="864"/>
          </w:tcPr>
          <w:p>
            <w:r/>
            <w:r>
              <w:t>10</w:t>
            </w:r>
          </w:p>
        </w:tc>
      </w:tr>
      <w:tr>
        <w:tc>
          <w:tcPr>
            <w:tcW w:type="dxa" w:w="864"/>
          </w:tcPr>
          <w:p>
            <w:r/>
            <w:r>
              <w:t>Situated interlocutor</w:t>
            </w:r>
          </w:p>
        </w:tc>
        <w:tc>
          <w:tcPr>
            <w:tcW w:type="dxa" w:w="864"/>
          </w:tcPr>
          <w:p>
            <w:r/>
            <w:r>
              <w:t>split_candidate</w:t>
            </w:r>
          </w:p>
        </w:tc>
        <w:tc>
          <w:tcPr>
            <w:tcW w:type="dxa" w:w="864"/>
          </w:tcPr>
          <w:p>
            <w:r/>
            <w:r>
              <w:t>3</w:t>
            </w:r>
          </w:p>
        </w:tc>
        <w:tc>
          <w:tcPr>
            <w:tcW w:type="dxa" w:w="864"/>
          </w:tcPr>
          <w:p>
            <w:r/>
            <w:r>
              <w:t>3</w:t>
            </w:r>
          </w:p>
        </w:tc>
        <w:tc>
          <w:tcPr>
            <w:tcW w:type="dxa" w:w="864"/>
          </w:tcPr>
          <w:p>
            <w:r/>
            <w:r>
              <w:t>0</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28</w:t>
            </w:r>
          </w:p>
        </w:tc>
      </w:tr>
      <w:tr>
        <w:tc>
          <w:tcPr>
            <w:tcW w:type="dxa" w:w="864"/>
          </w:tcPr>
          <w:p>
            <w:r/>
            <w:r>
              <w:t>Context witness</w:t>
            </w:r>
          </w:p>
        </w:tc>
        <w:tc>
          <w:tcPr>
            <w:tcW w:type="dxa" w:w="864"/>
          </w:tcPr>
          <w:p>
            <w:r/>
            <w:r>
              <w:t>split_candidate</w:t>
            </w:r>
          </w:p>
        </w:tc>
        <w:tc>
          <w:tcPr>
            <w:tcW w:type="dxa" w:w="864"/>
          </w:tcPr>
          <w:p>
            <w:r/>
            <w:r>
              <w:t>4</w:t>
            </w:r>
          </w:p>
        </w:tc>
        <w:tc>
          <w:tcPr>
            <w:tcW w:type="dxa" w:w="864"/>
          </w:tcPr>
          <w:p>
            <w:r/>
            <w:r>
              <w:t>6</w:t>
            </w:r>
          </w:p>
        </w:tc>
        <w:tc>
          <w:tcPr>
            <w:tcW w:type="dxa" w:w="864"/>
          </w:tcPr>
          <w:p>
            <w:r/>
            <w:r>
              <w:t>1</w:t>
            </w:r>
          </w:p>
        </w:tc>
        <w:tc>
          <w:tcPr>
            <w:tcW w:type="dxa" w:w="864"/>
          </w:tcPr>
          <w:p>
            <w:r/>
            <w:r>
              <w:t>0</w:t>
            </w:r>
          </w:p>
        </w:tc>
        <w:tc>
          <w:tcPr>
            <w:tcW w:type="dxa" w:w="864"/>
          </w:tcPr>
          <w:p>
            <w:r/>
            <w:r>
              <w:t>1</w:t>
            </w:r>
          </w:p>
        </w:tc>
        <w:tc>
          <w:tcPr>
            <w:tcW w:type="dxa" w:w="864"/>
          </w:tcPr>
          <w:p>
            <w:r/>
            <w:r>
              <w:t>0</w:t>
            </w:r>
          </w:p>
        </w:tc>
        <w:tc>
          <w:tcPr>
            <w:tcW w:type="dxa" w:w="864"/>
          </w:tcPr>
          <w:p>
            <w:r/>
            <w:r>
              <w:t>2</w:t>
            </w:r>
          </w:p>
        </w:tc>
        <w:tc>
          <w:tcPr>
            <w:tcW w:type="dxa" w:w="864"/>
          </w:tcPr>
          <w:p>
            <w:r/>
            <w:r>
              <w:t>22</w:t>
            </w:r>
          </w:p>
        </w:tc>
      </w:tr>
      <w:tr>
        <w:tc>
          <w:tcPr>
            <w:tcW w:type="dxa" w:w="864"/>
          </w:tcPr>
          <w:p>
            <w:r/>
            <w:r>
              <w:t>Routine first-pass screener</w:t>
            </w:r>
          </w:p>
        </w:tc>
        <w:tc>
          <w:tcPr>
            <w:tcW w:type="dxa" w:w="864"/>
          </w:tcPr>
          <w:p>
            <w:r/>
            <w:r>
              <w:t>shrinking_task_cluster</w:t>
            </w:r>
          </w:p>
        </w:tc>
        <w:tc>
          <w:tcPr>
            <w:tcW w:type="dxa" w:w="864"/>
          </w:tcPr>
          <w:p>
            <w:r/>
            <w:r>
              <w:t>0</w:t>
            </w:r>
          </w:p>
        </w:tc>
        <w:tc>
          <w:tcPr>
            <w:tcW w:type="dxa" w:w="864"/>
          </w:tcPr>
          <w:p>
            <w:r/>
            <w:r>
              <w:t>0</w:t>
            </w:r>
          </w:p>
        </w:tc>
        <w:tc>
          <w:tcPr>
            <w:tcW w:type="dxa" w:w="864"/>
          </w:tcPr>
          <w:p>
            <w:r/>
            <w:r>
              <w:t>0</w:t>
            </w:r>
          </w:p>
        </w:tc>
        <w:tc>
          <w:tcPr>
            <w:tcW w:type="dxa" w:w="864"/>
          </w:tcPr>
          <w:p>
            <w:r/>
            <w:r>
              <w:t>13</w:t>
            </w:r>
          </w:p>
        </w:tc>
        <w:tc>
          <w:tcPr>
            <w:tcW w:type="dxa" w:w="864"/>
          </w:tcPr>
          <w:p>
            <w:r/>
            <w:r>
              <w:t>0</w:t>
            </w:r>
          </w:p>
        </w:tc>
        <w:tc>
          <w:tcPr>
            <w:tcW w:type="dxa" w:w="864"/>
          </w:tcPr>
          <w:p>
            <w:r/>
            <w:r>
              <w:t>0</w:t>
            </w:r>
          </w:p>
        </w:tc>
        <w:tc>
          <w:tcPr>
            <w:tcW w:type="dxa" w:w="864"/>
          </w:tcPr>
          <w:p>
            <w:r/>
            <w:r>
              <w:t>1</w:t>
            </w:r>
          </w:p>
        </w:tc>
        <w:tc>
          <w:tcPr>
            <w:tcW w:type="dxa" w:w="864"/>
          </w:tcPr>
          <w:p>
            <w:r/>
            <w:r>
              <w:t>22</w:t>
            </w:r>
          </w:p>
        </w:tc>
      </w:tr>
      <w:tr>
        <w:tc>
          <w:tcPr>
            <w:tcW w:type="dxa" w:w="864"/>
          </w:tcPr>
          <w:p>
            <w:r/>
            <w:r>
              <w:t>Routine coder on high-consensus, ground-truth-rich tasks</w:t>
            </w:r>
          </w:p>
        </w:tc>
        <w:tc>
          <w:tcPr>
            <w:tcW w:type="dxa" w:w="864"/>
          </w:tcPr>
          <w:p>
            <w:r/>
            <w:r>
              <w:t>shrinking_task_cluster</w:t>
            </w:r>
          </w:p>
        </w:tc>
        <w:tc>
          <w:tcPr>
            <w:tcW w:type="dxa" w:w="864"/>
          </w:tcPr>
          <w:p>
            <w:r/>
            <w:r>
              <w:t>0</w:t>
            </w:r>
          </w:p>
        </w:tc>
        <w:tc>
          <w:tcPr>
            <w:tcW w:type="dxa" w:w="864"/>
          </w:tcPr>
          <w:p>
            <w:r/>
            <w:r>
              <w:t>1</w:t>
            </w:r>
          </w:p>
        </w:tc>
        <w:tc>
          <w:tcPr>
            <w:tcW w:type="dxa" w:w="864"/>
          </w:tcPr>
          <w:p>
            <w:r/>
            <w:r>
              <w:t>0</w:t>
            </w:r>
          </w:p>
        </w:tc>
        <w:tc>
          <w:tcPr>
            <w:tcW w:type="dxa" w:w="864"/>
          </w:tcPr>
          <w:p>
            <w:r/>
            <w:r>
              <w:t>15</w:t>
            </w:r>
          </w:p>
        </w:tc>
        <w:tc>
          <w:tcPr>
            <w:tcW w:type="dxa" w:w="864"/>
          </w:tcPr>
          <w:p>
            <w:r/>
            <w:r>
              <w:t>1</w:t>
            </w:r>
          </w:p>
        </w:tc>
        <w:tc>
          <w:tcPr>
            <w:tcW w:type="dxa" w:w="864"/>
          </w:tcPr>
          <w:p>
            <w:r/>
            <w:r>
              <w:t>0</w:t>
            </w:r>
          </w:p>
        </w:tc>
        <w:tc>
          <w:tcPr>
            <w:tcW w:type="dxa" w:w="864"/>
          </w:tcPr>
          <w:p>
            <w:r/>
            <w:r>
              <w:t>1</w:t>
            </w:r>
          </w:p>
        </w:tc>
        <w:tc>
          <w:tcPr>
            <w:tcW w:type="dxa" w:w="864"/>
          </w:tcPr>
          <w:p>
            <w:r/>
            <w:r>
              <w:t>18</w:t>
            </w:r>
          </w:p>
        </w:tc>
      </w:tr>
      <w:tr>
        <w:tc>
          <w:tcPr>
            <w:tcW w:type="dxa" w:w="864"/>
          </w:tcPr>
          <w:p>
            <w:r/>
            <w:r>
              <w:t>Structural prose polisher / drafter</w:t>
            </w:r>
          </w:p>
        </w:tc>
        <w:tc>
          <w:tcPr>
            <w:tcW w:type="dxa" w:w="864"/>
          </w:tcPr>
          <w:p>
            <w:r/>
            <w:r>
              <w:t>shrinking_task_cluster</w:t>
            </w:r>
          </w:p>
        </w:tc>
        <w:tc>
          <w:tcPr>
            <w:tcW w:type="dxa" w:w="864"/>
          </w:tcPr>
          <w:p>
            <w:r/>
            <w:r>
              <w:t>0</w:t>
            </w:r>
          </w:p>
        </w:tc>
        <w:tc>
          <w:tcPr>
            <w:tcW w:type="dxa" w:w="864"/>
          </w:tcPr>
          <w:p>
            <w:r/>
            <w:r>
              <w:t>2</w:t>
            </w:r>
          </w:p>
        </w:tc>
        <w:tc>
          <w:tcPr>
            <w:tcW w:type="dxa" w:w="864"/>
          </w:tcPr>
          <w:p>
            <w:r/>
            <w:r>
              <w:t>1</w:t>
            </w:r>
          </w:p>
        </w:tc>
        <w:tc>
          <w:tcPr>
            <w:tcW w:type="dxa" w:w="864"/>
          </w:tcPr>
          <w:p>
            <w:r/>
            <w:r>
              <w:t>12</w:t>
            </w:r>
          </w:p>
        </w:tc>
        <w:tc>
          <w:tcPr>
            <w:tcW w:type="dxa" w:w="864"/>
          </w:tcPr>
          <w:p>
            <w:r/>
            <w:r>
              <w:t>0</w:t>
            </w:r>
          </w:p>
        </w:tc>
        <w:tc>
          <w:tcPr>
            <w:tcW w:type="dxa" w:w="864"/>
          </w:tcPr>
          <w:p>
            <w:r/>
            <w:r>
              <w:t>0</w:t>
            </w:r>
          </w:p>
        </w:tc>
        <w:tc>
          <w:tcPr>
            <w:tcW w:type="dxa" w:w="864"/>
          </w:tcPr>
          <w:p>
            <w:r/>
            <w:r>
              <w:t>1</w:t>
            </w:r>
          </w:p>
        </w:tc>
        <w:tc>
          <w:tcPr>
            <w:tcW w:type="dxa" w:w="864"/>
          </w:tcPr>
          <w:p>
            <w:r/>
            <w:r>
              <w:t>20</w:t>
            </w:r>
          </w:p>
        </w:tc>
      </w:tr>
    </w:tbl>
    <w:p/>
    <w:p>
      <w:pPr>
        <w:pStyle w:val="Heading1"/>
      </w:pPr>
      <w:r>
        <w:t>3. Durable Roles: Procedure, Boundary Setting, and Calibration</w:t>
      </w:r>
    </w:p>
    <w:p>
      <w:pPr>
        <w:pStyle w:val="Heading2"/>
      </w:pPr>
      <w:r>
        <w:t>3.1 Exemplars</w:t>
      </w:r>
    </w:p>
    <w:p>
      <w:r>
        <w:t xml:space="preserve">Before turning to the durable-role pattern, we name one exemplar case per status to index the argument. We label these exemplars </w:t>
      </w:r>
      <w:r>
        <w:rPr>
          <w:i/>
        </w:rPr>
        <w:t>prototypes</w:t>
      </w:r>
      <w:r>
        <w:t xml:space="preserve"> in the Lord et al. (1984) sense rather than only as illustrative cases. The leadership-categorization framework specifies that category-membership judgments — including a coder's assignment of a (role × case) cell to one of the six statuses — operate by prototype-matching to a cognitive referent rather than by pure rule-application from anchors; the rubric's behavioral anchors then function as supplementary discriminators rather than as the primary categorization device. Two empirical predictions follow. First, a second coder lacking access to the §3.1 prototypes will under-perform most on the statuses whose anchors carry the heaviest transition-coded content — </w:t>
      </w:r>
      <w:r>
        <w:rPr>
          <w:i/>
        </w:rPr>
        <w:t>conditional</w:t>
      </w:r>
      <w:r>
        <w:t xml:space="preserve"> and </w:t>
      </w:r>
      <w:r>
        <w:rPr>
          <w:i/>
        </w:rPr>
        <w:t>transformed</w:t>
      </w:r>
      <w:r>
        <w:t xml:space="preserve"> — where prototype-matching does the most work. Second, the κ failure on those two statuses (§6.2) is diagnostically attributable to prototype-reconstruction failure rather than to anchor under-specification, and the appropriate v1.1 instrument is therefore a calibration session on the §3.1 prototypes rather than further anchor refinement. The per-status κ pattern (</w:t>
      </w:r>
      <w:r>
        <w:rPr>
          <w:i/>
        </w:rPr>
        <w:t>robust</w:t>
      </w:r>
      <w:r>
        <w:t xml:space="preserve"> 0.402, </w:t>
      </w:r>
      <w:r>
        <w:rPr>
          <w:i/>
        </w:rPr>
        <w:t>shrinking</w:t>
      </w:r>
      <w:r>
        <w:t xml:space="preserve"> 0.549, </w:t>
      </w:r>
      <w:r>
        <w:rPr>
          <w:i/>
        </w:rPr>
        <w:t>conditional</w:t>
      </w:r>
      <w:r>
        <w:t xml:space="preserve"> 0.009, </w:t>
      </w:r>
      <w:r>
        <w:rPr>
          <w:i/>
        </w:rPr>
        <w:t>transformed</w:t>
      </w:r>
      <w:r>
        <w:t xml:space="preserve"> 0.000) is consistent with this reading. For </w:t>
      </w:r>
      <w:r>
        <w:rPr>
          <w:i/>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i/>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i/>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i/>
        </w:rPr>
        <w:t>shrinking</w:t>
      </w:r>
      <w:r>
        <w:t xml:space="preserve"> task clusters, Törnberg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i/>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i/>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w:t>
      </w:r>
      <w:r>
        <w:rPr>
          <w:i/>
        </w:rPr>
        <w:t>n</w:t>
      </w:r>
      <w:r>
        <w:t xml:space="preserve"> = 2, both on Case 10); it is retained in the rubric because the substantive pattern matters, not because it is common.</w:t>
      </w:r>
    </w:p>
    <w:p>
      <w:r>
        <w:t>Cases are named as exemplars of one status each for expositional economy; the full status profile for every case is in the released database. Exemplar selection in case-based management methodology carries known risks of cherry-picking and of theoretical-vs-direct-replication confusion (Eisenhardt, 1989, 2021; Flyvbjerg, 2006; Langley, 1999; Welch et al., 2011). We address those risks in three steps. First, we select one exemplar per status from cases the rubric's anchors fire on cleanly. Second, we disclose pilot-origin for the three exemplars that were in the rubric-development pilot (Keith, 2026 / Case 2; Baccolini, 2026 / Case 7; Törnberg, 2025 / Case 1). Third, we hold their exemplar-status labels fixed through the main coding pass; the disagreement log released with the database records any pilot-vs-main-pass status revisions. Exemplars are referenced by case ID throughout §§3–5.</w:t>
      </w:r>
    </w:p>
    <w:p>
      <w:pPr>
        <w:pStyle w:val="Heading2"/>
      </w:pPr>
      <w:r>
        <w:t>3.2 The procedural cluster: protocol-and-provenance, calibration, and accountability</w:t>
      </w:r>
    </w:p>
    <w:p>
      <w:r>
        <w:t xml:space="preserve">The clearest durable pattern is procedural. Protocol and provenance architect is robust in 15 cases, conditional in 5, and transformed in 7 — 27 cases in robust, conditional, or transformed status and zero shrinking, with 5 further cases registering split or merge pressure. The same mixed profile recurs for accountability and labor allocator (5 robust, 8 conditional, 7 transformed): </w:t>
      </w:r>
      <w:r>
        <w:rPr>
          <w:i/>
        </w:rPr>
        <w:t>transformed</w:t>
      </w:r>
      <w:r>
        <w:t xml:space="preserve"> is a common landing point for roles that redefine rather than abandon procedural work. The codebook has to turn broad political ideas into operational constructs, define edge cases, and make error analysis methodologically legible (Keith, 2026; see §3.1). Within this 36-case repository, procedure reads as constitutive of the task rather than residual to it; we frame this as a within-repository regularity rather than a population-level claim, with §6.5 binding the claim ceiling and the 2027 hold-out + v1.1 within-case extension as the instruments for asking whether the procedural-cluster signature generalizes beyond the visibility-filtered case set.</w:t>
      </w:r>
    </w:p>
    <w:p>
      <w:r>
        <w:t xml:space="preserve">We adopt a </w:t>
      </w:r>
      <w:r>
        <w:rPr>
          <w:i/>
        </w:rPr>
        <w:t>constitutive</w:t>
      </w:r>
      <w:r>
        <w:t xml:space="preserve"> reading of the durable-roles pattern: procedural roles are individuated by the rubric's anchors as the role-cells whose performance case authors treat as load-bearing for inferential validity. The ex-ante reason these three roles cluster — and not, say, mechanism-discipline or counterfactual-judgment — is that protocol-and-provenance, calibration, and accountability-and-labor allocation are the smallest closed set that jointly discharges </w:t>
      </w:r>
      <w:r>
        <w:rPr>
          <w:i/>
        </w:rPr>
        <w:t>procedural</w:t>
      </w:r>
      <w:r>
        <w:t xml:space="preserve"> validity in the Cronbach-Meehl-Messick sense (Cronbach &amp; Meehl, 1955; Messick, 1995): admissible procedure (what counts as evidence and how it was assembled), calibration of inference (how outputs are evaluated against defensible benchmarks), and accountable sign-off (who carries responsibility for the inference). This triple is distinct from the </w:t>
      </w:r>
      <w:r>
        <w:rPr>
          <w:i/>
        </w:rPr>
        <w:t>substantive</w:t>
      </w:r>
      <w:r>
        <w:t xml:space="preserve">-validity cluster — boundary-setting, mechanism-discipline, counterfactual-judgment — which the rubric registers separately and which carries a different status profile (more conditional, less robust). The H1 prediction is therefore the sharper claim that the procedural-validity closure cluster is the role-set whose substitution would degrade the </w:t>
      </w:r>
      <w:r>
        <w:rPr>
          <w:i/>
        </w:rPr>
        <w:t>admissibility</w:t>
      </w:r>
      <w:r>
        <w:t xml:space="preserve"> of an inference rather than its </w:t>
      </w:r>
      <w:r>
        <w:rPr>
          <w:i/>
        </w:rPr>
        <w:t>content</w:t>
      </w:r>
      <w:r>
        <w:t xml:space="preserve">, and is therefore the cluster the visibility filter (publishable workflows) selects on most strongly. The principal counter-explanation is </w:t>
      </w:r>
      <w:r>
        <w:rPr>
          <w:i/>
        </w:rPr>
        <w:t>procedural-prose density</w:t>
      </w:r>
      <w:r>
        <w:t xml:space="preserve">: case texts that devote more words to procedure, calibration, and accountability mechanically supply more anchor-firing sentences for those three roles than for substantive-validity roles, so the procedural triple may register higher robust counts not because the underlying role-system is more durable but because the </w:t>
      </w:r>
      <w:r>
        <w:rPr>
          <w:i/>
        </w:rPr>
        <w:t>textual surface</w:t>
      </w:r>
      <w:r>
        <w:t xml:space="preserve"> of procedural work is denser in publishable methods venues (Williams et al., 2010); the v1.1 case-family DIF and within-case transition-coding extension are the appropriate tests of whether the triple co-occurrence survives prose-density adjustment. Once the procedural-validity reading is in place, the three roles also map onto what the HRO literature (Weick &amp; Sutcliffe, 2007) describes as </w:t>
      </w:r>
      <w:r>
        <w:rPr>
          <w:i/>
        </w:rPr>
        <w:t>mindful organizing</w:t>
      </w:r>
      <w:r>
        <w:t xml:space="preserve"> — preoccupation with failure (calibration), reluctance to simplify (provenance), sensitivity to operations (procedure), commitment to resilience and deference to expertise (accountability) — but that mapping is a downstream gloss, not the ex-ante motivation for the triple. Codebook-equivalents — Keith's construct definitions, Baccolini's inclusion rules, Larson's calibration benchmark — recur as the artifact through which procedural roles remain human-anchored even when LLMs perform the underlying classification.</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is </w:t>
      </w:r>
      <w:r>
        <w:rPr>
          <w:rFonts w:ascii="Consolas" w:hAnsi="Consolas"/>
          <w:sz w:val="21"/>
        </w:rPr>
        <w:t>durable | durable | durable</w:t>
      </w:r>
      <w:r>
        <w:t xml:space="preserve">, occurring in 12 of 36 cases. A further 12 cases carry durable on two of the three (typically protocol + accountability, with calibration </w:t>
      </w:r>
      <w:r>
        <w:rPr>
          <w:rFonts w:ascii="Consolas" w:hAnsi="Consolas"/>
          <w:sz w:val="21"/>
        </w:rPr>
        <w:t>not_applicable</w:t>
      </w:r>
      <w:r>
        <w:t xml:space="preserve">); only two cases carry pressure-status on all three. Marginal P(durable) on the three H1 roles is 0.750, 0.528, and 0.556 across the 36 cases; under marginal independence the expected count of all-three-durable cases is 7.92, and the observed 12 is 1.52× expected. The triple co-occurrence is a real configurational signal, not a sum of marginal coincidences. The lift is descriptive within-sample: it is conditioned on the visibility filter (publishable workflows over-represent durable procedure) and on the procedural-prose density confound discussed above. The durable-status collapse (robust + conditional + transformed) absorbs the per-status disagreement on </w:t>
      </w:r>
      <w:r>
        <w:rPr>
          <w:i/>
        </w:rPr>
        <w:t>conditional</w:t>
      </w:r>
      <w:r>
        <w:t xml:space="preserve"> and </w:t>
      </w:r>
      <w:r>
        <w:rPr>
          <w:i/>
        </w:rPr>
        <w:t>transformed</w:t>
      </w:r>
      <w:r>
        <w:t xml:space="preserve"> that §6 documents, so the 12-of-36 lift survives even when the individual transition-coded anchors do not. The cell-level Monte-Carlo </w:t>
      </w:r>
      <w:r>
        <w:rPr>
          <w:i/>
        </w:rPr>
        <w:t>p</w:t>
      </w:r>
      <w:r>
        <w:t xml:space="preserve"> = 0.0002 supports this configurational reading; the clustering-aware case-level </w:t>
      </w:r>
      <w:r>
        <w:rPr>
          <w:i/>
        </w:rPr>
        <w:t>p</w:t>
      </w:r>
      <w:r>
        <w:t xml:space="preserve"> = 0.58 does not, and §6.5 bounds the H3 claim ceiling accordingly.</w:t>
      </w:r>
    </w:p>
    <w:p>
      <w:r>
        <w:t xml:space="preserve">We label this cluster the </w:t>
      </w:r>
      <w:r>
        <w:rPr>
          <w:i/>
        </w:rPr>
        <w:t>candidate epistemic-guardian signature</w:t>
      </w:r>
      <w:r>
        <w:t xml:space="preserve"> (v1.0) and define it operationally as a (case × three-H1-roles) profile in which all three roles carry a durable status; the qualifier reflects that the signature awaits the v1.1 within-case extension. The 36-case repository codes at the case level and cannot adjudicate whether the lift reflects intrapersonal role-attachment (Ramarajan, 2014), team-composition capacity (Woolley et al., 2010), or coordination-architecture clustering (Puranam et al., 2014); the v1.1 within-case extension that codes who-performs-the-role-cell is the appropriate test.</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If §3 traces where human roles consolidate, §4 traces where they contract. The three jurisdictional shapes of shrinkage below are derived from the same automation-augmentation paradox literature (Raisch &amp; Krakowski, 2021; Autor, 2015) that deductively anchors the allocation continuum in §2.3 — the </w:t>
      </w:r>
      <w:r>
        <w:rPr>
          <w:i/>
        </w:rPr>
        <w:t>shrinking</w:t>
      </w:r>
      <w:r>
        <w:t xml:space="preserve"> end of that continuum is where automation predominates over augmentation, and three distinct shrinkage shapes correspond to three distinct automation mechanisms catalogued in the literature. The audit codes the realized shape and does not adjudicate among the underlying mechanisms. </w:t>
      </w:r>
      <w:r>
        <w:rPr>
          <w:i/>
        </w:rPr>
        <w:t>Deskilling</w:t>
      </w:r>
      <w:r>
        <w:t xml:space="preserve"> — the role's content is simplified and the skill demand on the human contracts — corresponds to Autor's (2015) routinization-pressure mechanism within the augmentation register (Raisch &amp; Krakowski, 2021), and fits the Bleier (n.d.) reproducibility-repair pattern. </w:t>
      </w:r>
      <w:r>
        <w:rPr>
          <w:i/>
        </w:rPr>
        <w:t>Delegation</w:t>
      </w:r>
      <w:r>
        <w:t xml:space="preserve"> — the task is reassigned to a non-human performer with humans retained for exception handling — corresponds to the substitution mechanism Frey and Osborne (2017) catalogue across occupational tasks, and fits the Törnberg (2025) objective-coding pattern. </w:t>
      </w:r>
      <w:r>
        <w:rPr>
          <w:i/>
        </w:rPr>
        <w:t>Boundary redefinition</w:t>
      </w:r>
      <w:r>
        <w:t xml:space="preserve"> — the task cluster is excised from the human role altogether and the role narrows — corresponds to task-level automation reshaping occupational composition (Brynjolfsson &amp; Mitchell, 2017), and the structural-prose-polishing pattern (Yin, n.d.; Cox, n.d.) is its role-level analog. The shapes are not deterministic outcomes of AI capability: they are </w:t>
      </w:r>
      <w:r>
        <w:rPr>
          <w:i/>
        </w:rPr>
        <w:t>occasions</w:t>
      </w:r>
      <w:r>
        <w:t xml:space="preserve"> for structuring whose realized form is shaped by the occupational community into which the workflow lands (Barley, 1986). Each shape also implies a different configuration of the AI as an organizational member — primary performer, embedded tool, partial member — and the typology's value to an organization designing an AI-embedded research workflow is that it diagnoses which configuration is in play (Puranam, 2021). The "routine" descriptor here refers to </w:t>
      </w:r>
      <w:r>
        <w:rPr>
          <w:i/>
        </w:rPr>
        <w:t>high-consensus repeatable throughput</w:t>
      </w:r>
      <w:r>
        <w:t xml:space="preserve"> (Autor, 2015), not to </w:t>
      </w:r>
      <w:r>
        <w:rPr>
          <w:i/>
        </w:rPr>
        <w:t>organizational routines</w:t>
      </w:r>
      <w:r>
        <w:t xml:space="preserve"> in the Feldman &amp; Pentland (2003) sense.</w:t>
      </w:r>
    </w:p>
    <w:p>
      <w:r>
        <w:t xml:space="preserve">The shrinkage story is real but narrower than public discourse suggests. The database records 40 shrinking codings concentrated entirely in three throughput-task roles — routine first-pass screener (13 cases), routine coder on high-consensus ground-truth-rich tasks (15 cases), and structural prose polisher (12 cases); the procedural-validity roles of §3 (protocol-and-provenance architect, calibration architect, accountability-and-labor allocator) carry zero shrinking codings, the asymmetry §3 turns on. The shrinking codings appear across 24 of 36 cases — 12 cases carry no shrinking codings at all. What unites the three throughput clusters is the joint presence of routinized output, clean evaluation, and low discretion about admissible procedure. Operating on a case-family proxy for public ground truth (Measurement &amp; coding, Evidence synthesis &amp; corpus, Reproducibility &amp; autonomous research), the consistency score for (ground-truth-rich → has-shrinking) is 0.857 — i.e., 12 of 14 ground-truth-rich cases exhibit at least one shrinking-task coding, clearing Ragin's (2008) 0.75 sufficiency minimum but below the 0.90 strong-sufficiency threshold — and coverage is 0.500, meaning the ground-truth-rich path captures 12 of the 24 shrinking cases. The 0.500 coverage implies a second equifinal path: 8 of the 12 shrinking cases outside ground-truth-rich families concentrate in structural prose polishing where the task has </w:t>
      </w:r>
      <w:r>
        <w:rPr>
          <w:i/>
        </w:rPr>
        <w:t>clean post-hoc auditability</w:t>
      </w:r>
      <w:r>
        <w:t xml:space="preserve"> (draft vs. published prose) rather than public ground truth. The two-path reading </w:t>
      </w:r>
      <w:r>
        <w:rPr>
          <w:i/>
        </w:rPr>
        <w:t>ground-truth-rich</w:t>
      </w:r>
      <w:r>
        <w:t xml:space="preserve"> ∨ </w:t>
      </w:r>
      <w:r>
        <w:rPr>
          <w:i/>
        </w:rPr>
        <w:t>clean-post-hoc-auditability</w:t>
      </w:r>
      <w:r>
        <w:t xml:space="preserve"> → </w:t>
      </w:r>
      <w:r>
        <w:rPr>
          <w:i/>
        </w:rPr>
        <w:t>has-shrinking</w:t>
      </w:r>
      <w:r>
        <w:t xml:space="preserve"> recovers ~0.833 joint coverage (20 of 24 shrinking cases); we report this as descriptive, not Boolean-minimized.</w:t>
      </w:r>
    </w:p>
    <w:p>
      <w:r>
        <w:t xml:space="preserve">Within the ground-truth-rich path, the objective party-affiliation case is the cleanest coding example. Here the task has public ground truth, and the paper finds that GPT-4 can outperform both supervised classifiers and human coders on identifying party affiliation from a single message across 11 countries (Törnberg, 2025). This is a harder case for the "role persists" reading than the surrounding cases, because Törnberg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Törnberg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 xml:space="preserve">The two specification operations — split pressure and merge pressure — emerged inductively from the audit (§2.3) when the deductively anchored allocation continuum could not accommodate the observed pattern. They operationalize Furnari et al.'s (2021) configurational-theorizing heuristics at the role-cell level: split pressure operates as the </w:t>
      </w:r>
      <w:r>
        <w:rPr>
          <w:i/>
        </w:rPr>
        <w:t>scoping</w:t>
      </w:r>
      <w:r>
        <w:t xml:space="preserve"> heuristic (re-determining which sub-activities belong inside a role-cell and which belong outside), and merge pressure operates as </w:t>
      </w:r>
      <w:r>
        <w:rPr>
          <w:i/>
        </w:rPr>
        <w:t>linking</w:t>
      </w:r>
      <w:r>
        <w:t xml:space="preserve"> (recombining two formerly distinct role-cells into a single configurational element). This section reports the cases that forced each operation. 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 xml:space="preserve">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used as testbeds for survey, interview, and intervention questions, calibration and transportability can no longer be the same human role (Li, n.d.). The split-pressure pattern is therefore not a weakness in the typology but the inductive finding the §2.3 framework is designed to register: it surfaces the </w:t>
      </w:r>
      <w:r>
        <w:rPr>
          <w:i/>
        </w:rPr>
        <w:t>scoping</w:t>
      </w:r>
      <w:r>
        <w:t xml:space="preserve"> operations the audit could not deductively anticipate.</w:t>
      </w:r>
    </w:p>
    <w:p>
      <w:r>
        <w:t xml:space="preserve">Five cases describe research systems built around AI capability from the outset and stress the rubric's separability presupposition. Cases 25 and 26 (Project APE) instantiate the rival reading most directly: in the Faraj-Pachidi (2021) co-constitution register, the role-system and the agentic pipeline are mutually constituted and a snapshot decomposition is a moment in ongoing co-evolution rather than a stable allocation; in the rubric's separability-presupposing register the same evidence reads as transformed accountability allocator + robust protocol architect against a hypothetical pre-AI baseline. Project APE additionally relies on tournament-style evaluation, model ensembles, and internal quality proxies that do not map cleanly onto journal, policy, or public-accountability standards (Project APE, n.d.). Case 32 (The AI Scientist) carries the same rival-reading split but draws most of its evidence from AI or machine-learning research rather than from social science (Ha, n.d.), which weakens the separability-baseline. Case 33 (Deep Research) localizes the rivalry to corpus-pluralist and protocol-and-provenance roles, where the agentic web-research loop and the human source-boundary decision co-determine what counts as evidence. Case 34 (AgentSociety) localizes the rivalry to calibration architect and counterfactual / transportability judge, where simulation calibration and policy transport are co-constituted within the simulation platform itself. The five cells are flagged in the released codings, the autonomy-heavy sensitivity analysis is reported in §6 (Table 4), and the v1.1 within-case transition-coding extension — coding two snapshots per case to recover the transition direction the v1.0 single-snapshot rubric cannot observe (Orlikowski, 2007; Suchman, 2007) — is the appropriate instrument for adjudicating the co-constitution rival reading on these five cases. The rubric is appropriate as a </w:t>
      </w:r>
      <w:r>
        <w:rPr>
          <w:i/>
        </w:rPr>
        <w:t>separability-presupposing</w:t>
      </w:r>
      <w:r>
        <w:t xml:space="preserve"> audit instrument across the 36 cases and we do not claim it adjudicates fully co-constituted research systems; these cases stress-test the typology without settling it.</w:t>
      </w:r>
    </w:p>
    <w:p>
      <w:pPr>
        <w:pStyle w:val="Heading1"/>
      </w:pPr>
      <w:r>
        <w:t>6. Rival Explanations and Limits</w:t>
      </w:r>
    </w:p>
    <w:p>
      <w:pPr>
        <w:pStyle w:val="Heading2"/>
      </w:pPr>
      <w:r>
        <w:t>6.1 Rival explanations</w:t>
      </w:r>
    </w:p>
    <w:p>
      <w:r>
        <w:t xml:space="preserve">The repository is strong enough to support a comparative argument, but it is not immune to rival explanations. </w:t>
      </w:r>
      <w:r>
        <w:rPr>
          <w:i/>
        </w:rPr>
        <w:t>Publication bias</w:t>
      </w:r>
      <w:r>
        <w:t xml:space="preserve"> matters: some cases become visible precisely because they are dramatic, novel, or unusually favorable to AI — the standard credibility-crisis concern in management research (Bergh et al., 2017; Ioannidis, 2005).</w:t>
      </w:r>
    </w:p>
    <w:p>
      <w:r>
        <w:rPr>
          <w:i/>
        </w:rPr>
        <w:t>Repository coding bias</w:t>
      </w:r>
      <w:r>
        <w:t xml:space="preserve"> also matters: even a well-documented database reflects earlier curation and coding decisions, and the coder's hypotheses-in-mind risk what Gelman and Loken (2014) describe as the garden of forking paths. The coding reported here is first-author-led (see §2 for confidence stratification and coding procedure).</w:t>
      </w:r>
    </w:p>
    <w:p>
      <w:r>
        <w:rPr>
          <w:i/>
        </w:rPr>
        <w:t>Benchmark artificiality</w:t>
      </w:r>
      <w:r>
        <w:t xml:space="preserve"> remains a live issue in the screening, reproducibility, and autonomy-heavy cases, where clean tasks or internal evaluation frameworks may flatter automation relative to messier live settings; the holistic-evaluation literature (Liang et al., 2022) and broader LLM evaluation surveys (Chang et al., 2024) document this gap between benchmark performance and deployed-context behavior, and the foundation-models literature catalogs the same artifact as a property of the models themselves (Bommasani et al., 2022; Weidinger et al., 2021).</w:t>
      </w:r>
    </w:p>
    <w:p>
      <w:pPr>
        <w:pStyle w:val="Heading2"/>
      </w:pPr>
      <w:r>
        <w:t>6.2 Inter-coder reliability</w:t>
      </w:r>
    </w:p>
    <w:p>
      <w:r>
        <w:t>To assess coding reliability, an independent second coder — a sandboxed LLM agent with context restricted to the rubric and case files — re-coded a stratified 10% subsample (four cases, 68 role × case cells) blind to the first coder's evidence summaries. The pass yields raw agreement 52.9% and pooled Cohen's κ = 0.289, 95% bootstrap CI [0.147, 0.439] (</w:t>
      </w:r>
      <w:r>
        <w:rPr>
          <w:i/>
        </w:rPr>
        <w:t>B</w:t>
      </w:r>
      <w:r>
        <w:t xml:space="preserve"> = 2,000; seed 20260423); Krippendorff's α on the same data is 0.278 (7-cat) / 0.298 (8-cat). The result fails the pre-committed acceptance threshold κ ≥ 0.60 (McHugh, 2012). Per-status κ reveals the failure structure: </w:t>
      </w:r>
      <w:r>
        <w:rPr>
          <w:i/>
        </w:rPr>
        <w:t>robust</w:t>
      </w:r>
      <w:r>
        <w:t xml:space="preserve"> (0.402) and </w:t>
      </w:r>
      <w:r>
        <w:rPr>
          <w:i/>
        </w:rPr>
        <w:t>shrinking</w:t>
      </w:r>
      <w:r>
        <w:t xml:space="preserve"> (0.549) achieve moderate agreement; </w:t>
      </w:r>
      <w:r>
        <w:rPr>
          <w:i/>
        </w:rPr>
        <w:t>conditional</w:t>
      </w:r>
      <w:r>
        <w:t xml:space="preserve"> (0.009) and </w:t>
      </w:r>
      <w:r>
        <w:rPr>
          <w:i/>
        </w:rPr>
        <w:t>transformed</w:t>
      </w:r>
      <w:r>
        <w:t xml:space="preserve"> (0.000) show essentially no agreement above chance. We read the κ failure as construct-validity-relevant in the §2.4 sense — the κ statistic indexes coder-application reliability of a formative classifier, so per-status κ disagreement diagnoses where the formative indicator set under-specifies the status across case families rather than where a reflective scale's indicators fail to load on a common factor: the two failing anchors are </w:t>
      </w:r>
      <w:r>
        <w:rPr>
          <w:i/>
        </w:rPr>
        <w:t>configurationally non-invariant</w:t>
      </w:r>
      <w:r>
        <w:t xml:space="preserve"> across case families in the generalized sense of Vandenberg &amp; Lance (2000) — the behavioral features that anchor </w:t>
      </w:r>
      <w:r>
        <w:rPr>
          <w:i/>
        </w:rPr>
        <w:t>conditional</w:t>
      </w:r>
      <w:r>
        <w:t xml:space="preserve"> and </w:t>
      </w:r>
      <w:r>
        <w:rPr>
          <w:i/>
        </w:rPr>
        <w:t>transformed</w:t>
      </w:r>
      <w:r>
        <w:t xml:space="preserve"> in one case family (e.g., Measurement &amp; coding) differ from those that anchor them in another (e.g., Interviews, fieldwork &amp; qualitative interpretation). Because the rubric is a categorical formative instrument rather than a reflective multi-indicator scale, the v1.1 diagnostic is a differential-item-functioning (DIF) test on the six-status responses across case families paired with a latent-class-invariance check; we adopt "configural-invariance test" as the heuristic label for that combined diagnostic. </w:t>
      </w:r>
      <w:r>
        <w:rPr>
          <w:i/>
        </w:rPr>
        <w:t>Conditional</w:t>
      </w:r>
      <w:r>
        <w:t xml:space="preserve"> and </w:t>
      </w:r>
      <w:r>
        <w:rPr>
          <w:i/>
        </w:rPr>
        <w:t>transformed</w:t>
      </w:r>
      <w:r>
        <w:t xml:space="preserve"> additionally describe role </w:t>
      </w:r>
      <w:r>
        <w:rPr>
          <w:i/>
        </w:rPr>
        <w:t>transitions</w:t>
      </w:r>
      <w:r>
        <w:t xml:space="preserve"> whose observable features differ across families (Ramarajan, 2014), which the DIF and latent-class instruments are designed to surface. The structural failure on the </w:t>
      </w:r>
      <w:r>
        <w:rPr>
          <w:i/>
        </w:rPr>
        <w:t>conditional</w:t>
      </w:r>
      <w:r>
        <w:t xml:space="preserve"> and </w:t>
      </w:r>
      <w:r>
        <w:rPr>
          <w:i/>
        </w:rPr>
        <w:t>transformed</w:t>
      </w:r>
      <w:r>
        <w:t xml:space="preserve"> anchors is itself diagnostic of where the field needs new calibration-session protocols and longitudinal transition coding for AI-embedded role-status assessment; we treat this rubric and its κ as the v1.0 baseline for future development. The LLM agent's lack of access to the §3.1 case prototypes amplifies the gap on transition-coded statuses; a human second-coder pass with calibration sessions on the §3.1 prototypes is the appropriate v1.1 instrument. Counts within the four allocation-related statuses are read as conditioned on textual legibility: tacit-knowledge-load-bearing roles may be systematically under-counted in </w:t>
      </w:r>
      <w:r>
        <w:rPr>
          <w:i/>
        </w:rPr>
        <w:t>robust</w:t>
      </w:r>
      <w:r>
        <w:t xml:space="preserve"> (Barley &amp; Kunda, 2001).</w:t>
      </w:r>
    </w:p>
    <w:p>
      <w:r>
        <w:t xml:space="preserve">Two rubric refinements follow: the tie-breaker now requires an explicit moderator variable for </w:t>
      </w:r>
      <w:r>
        <w:rPr>
          <w:i/>
        </w:rPr>
        <w:t>conditional</w:t>
      </w:r>
      <w:r>
        <w:t xml:space="preserve"> or explicit role-content change for </w:t>
      </w:r>
      <w:r>
        <w:rPr>
          <w:i/>
        </w:rPr>
        <w:t>transformed</w:t>
      </w:r>
      <w:r>
        <w:t xml:space="preserve">, with indeterminate cells defaulting to </w:t>
      </w:r>
      <w:r>
        <w:rPr>
          <w:i/>
        </w:rPr>
        <w:t>unclear</w:t>
      </w:r>
      <w:r>
        <w:t>; and the observable-vs-</w:t>
      </w:r>
      <w:r>
        <w:rPr>
          <w:rFonts w:ascii="Consolas" w:hAnsi="Consolas"/>
          <w:sz w:val="21"/>
        </w:rPr>
        <w:t>not_applicable</w:t>
      </w:r>
      <w:r>
        <w:t xml:space="preserve"> threshold requires at least one quotable evidence sentence. The rubric, second-coder CSV, and disagreement log are released with the database (Nosek et al., 2015). A two-extreme bracket on the operationally undifferentiated </w:t>
      </w:r>
      <w:r>
        <w:rPr>
          <w:i/>
        </w:rPr>
        <w:t>conditional</w:t>
      </w:r>
      <w:r>
        <w:t xml:space="preserve"> status (92 of 612 rows) — reassigning all 92 to </w:t>
      </w:r>
      <w:r>
        <w:rPr>
          <w:i/>
        </w:rPr>
        <w:t>robust</w:t>
      </w:r>
      <w:r>
        <w:t xml:space="preserve"> (extreme A) or to </w:t>
      </w:r>
      <w:r>
        <w:rPr>
          <w:i/>
        </w:rPr>
        <w:t>transformed</w:t>
      </w:r>
      <w:r>
        <w:t xml:space="preserve"> (extreme B) — yields sign-test </w:t>
      </w:r>
      <w:r>
        <w:rPr>
          <w:i/>
        </w:rPr>
        <w:t>p</w:t>
      </w:r>
      <w:r>
        <w:t xml:space="preserve"> = 0.004 (A) or 0.021 (B): the verdict is robust to either prior. Beyond these tie-breaker refinements — which discharge the OSF pre-analysis plan's pre-committed remedy for per-status κ below threshold — the manuscript additionally pre-commits three v1.1 instruments on the six-status responses: (i) a case-family DIF and latent-class-invariance test; (ii) a fully-blind human second-coder pass with cross-coder DIF (≥50 cases per family); and (iii) a within-case transition-coding extension targeting the </w:t>
      </w:r>
      <w:r>
        <w:rPr>
          <w:i/>
        </w:rPr>
        <w:t>conditional</w:t>
      </w:r>
      <w:r>
        <w:t xml:space="preserve"> and </w:t>
      </w:r>
      <w:r>
        <w:rPr>
          <w:i/>
        </w:rPr>
        <w:t>transformed</w:t>
      </w:r>
      <w:r>
        <w:t xml:space="preserve"> anchors. The same three-instrument set is referenced in the abstract.</w:t>
      </w:r>
    </w:p>
    <w:p>
      <w:pPr>
        <w:pStyle w:val="Heading2"/>
      </w:pPr>
      <w:r>
        <w:t>6.3 Robustness checks</w:t>
      </w:r>
    </w:p>
    <w:p>
      <w:r>
        <w:t xml:space="preserve">A HARKing-risk hold-out addresses the pilot-case circularity directly. Excluding the four pilot cases (1 Törnberg, 2 Keith, 7 Baccolini, 21 Larson) and re-running the role-level paired sign test on the remaining 32 cases yields 13 positive differences out of 15 defined roles (one role drops because its </w:t>
      </w:r>
      <w:r>
        <w:rPr>
          <w:i/>
        </w:rPr>
        <w:t>V</w:t>
      </w:r>
      <w:r>
        <w:t xml:space="preserve"> is undefined on the 32-case subset; two-sided binomial </w:t>
      </w:r>
      <w:r>
        <w:rPr>
          <w:i/>
        </w:rPr>
        <w:t>p</w:t>
      </w:r>
      <w:r>
        <w:t xml:space="preserve"> = 0.007), </w:t>
      </w:r>
      <w:r>
        <w:rPr>
          <w:i/>
        </w:rPr>
        <w:t>V</w:t>
      </w:r>
      <w:r>
        <w:t xml:space="preserve">_family = 0.253, </w:t>
      </w:r>
      <w:r>
        <w:rPr>
          <w:i/>
        </w:rPr>
        <w:t>V</w:t>
      </w:r>
      <w:r>
        <w:t xml:space="preserve">_capability = 0.208, and </w:t>
      </w:r>
      <w:r>
        <w:rPr>
          <w:i/>
        </w:rPr>
        <w:t>V</w:t>
      </w:r>
      <w:r>
        <w:t xml:space="preserve"> gap = +0.045 — all consistent in direction with the full-sample values and still statistically significant. The pilot cases contribute to specific role counts (e.g., removing Törnberg drops the routine-coder shrinking count from 15 to 13) but do not drive the H3 verdict. A confidence-stratified robustness check restricting to the 204 high-confidence role-coding rows (excluding medium- and low-confidence codings) yields </w:t>
      </w:r>
      <w:r>
        <w:rPr>
          <w:i/>
        </w:rPr>
        <w:t>V</w:t>
      </w:r>
      <w:r>
        <w:t>_family = 0.267, within rounding of the headline 0.260 on all 612 cells; the cross-lens direction (family &gt; capability) is preserved on the high-confidence subsample, so the H3 cell-level association is not an artifact of low-confidence rows. First-coder non-blindness is a real and disclosed limitation (H1, H2, H3 were specified before coding but the coder held the hypotheses in mind during coding); the pre-specified blind second-coder pass and Appendix C stranger-coder protocol are the paper's response.</w:t>
      </w:r>
    </w:p>
    <w:p>
      <w:pPr>
        <w:pStyle w:val="Heading2"/>
      </w:pPr>
      <w:r>
        <w:t>6.4 H3 confirmatory test (two complementary lenses)</w:t>
      </w:r>
    </w:p>
    <w:p>
      <w:r>
        <w:t xml:space="preserve">We test H3 through two complementary lenses on the same 612 role-coding observations: </w:t>
      </w:r>
      <w:r>
        <w:rPr>
          <w:i/>
        </w:rPr>
        <w:t>Lens 1</w:t>
      </w:r>
      <w:r>
        <w:t xml:space="preserve"> (Table 3a) asks whether </w:t>
      </w:r>
      <w:r>
        <w:rPr>
          <w:i/>
        </w:rPr>
        <w:t>research kind</w:t>
      </w:r>
      <w:r>
        <w:t xml:space="preserve"> predicts role status pooling across AI capability; </w:t>
      </w:r>
      <w:r>
        <w:rPr>
          <w:i/>
        </w:rPr>
        <w:t>Lens 2</w:t>
      </w:r>
      <w:r>
        <w:t xml:space="preserve"> (Table 3b) asks whether </w:t>
      </w:r>
      <w:r>
        <w:rPr>
          <w:i/>
        </w:rPr>
        <w:t>AI-capability modality</w:t>
      </w:r>
      <w:r>
        <w:t xml:space="preserve"> predicts role status pooling across research kind. The lens comparison is a descriptive convergence check; H3 is supported only if Lens 1 is consistently larger than Lens 2.</w:t>
      </w:r>
    </w:p>
    <w:p>
      <w:r>
        <w:rPr>
          <w:b/>
        </w:rPr>
        <w:t>Table 3a.</w:t>
      </w:r>
      <w:r>
        <w:t xml:space="preserve"> Status distribution by case family.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Case family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Predictive simulation &amp; design</w:t>
            </w:r>
          </w:p>
        </w:tc>
        <w:tc>
          <w:tcPr>
            <w:tcW w:type="dxa" w:w="864"/>
          </w:tcPr>
          <w:p>
            <w:r/>
            <w:r>
              <w:t>7</w:t>
            </w:r>
          </w:p>
        </w:tc>
        <w:tc>
          <w:tcPr>
            <w:tcW w:type="dxa" w:w="864"/>
          </w:tcPr>
          <w:p>
            <w:r/>
            <w:r>
              <w:t>7</w:t>
            </w:r>
          </w:p>
        </w:tc>
        <w:tc>
          <w:tcPr>
            <w:tcW w:type="dxa" w:w="864"/>
          </w:tcPr>
          <w:p>
            <w:r/>
            <w:r>
              <w:t>7</w:t>
            </w:r>
          </w:p>
        </w:tc>
        <w:tc>
          <w:tcPr>
            <w:tcW w:type="dxa" w:w="864"/>
          </w:tcPr>
          <w:p>
            <w:r/>
            <w:r>
              <w:t>9</w:t>
            </w:r>
          </w:p>
        </w:tc>
        <w:tc>
          <w:tcPr>
            <w:tcW w:type="dxa" w:w="864"/>
          </w:tcPr>
          <w:p>
            <w:r/>
            <w:r>
              <w:t>6</w:t>
            </w:r>
          </w:p>
        </w:tc>
        <w:tc>
          <w:tcPr>
            <w:tcW w:type="dxa" w:w="864"/>
          </w:tcPr>
          <w:p>
            <w:r/>
            <w:r>
              <w:t>17</w:t>
            </w:r>
          </w:p>
        </w:tc>
        <w:tc>
          <w:tcPr>
            <w:tcW w:type="dxa" w:w="864"/>
          </w:tcPr>
          <w:p>
            <w:r/>
            <w:r>
              <w:t>0</w:t>
            </w:r>
          </w:p>
        </w:tc>
        <w:tc>
          <w:tcPr>
            <w:tcW w:type="dxa" w:w="864"/>
          </w:tcPr>
          <w:p>
            <w:r/>
            <w:r>
              <w:t>4</w:t>
            </w:r>
          </w:p>
        </w:tc>
        <w:tc>
          <w:tcPr>
            <w:tcW w:type="dxa" w:w="864"/>
          </w:tcPr>
          <w:p>
            <w:r/>
            <w:r>
              <w:t>69</w:t>
            </w:r>
          </w:p>
        </w:tc>
      </w:tr>
      <w:tr>
        <w:tc>
          <w:tcPr>
            <w:tcW w:type="dxa" w:w="864"/>
          </w:tcPr>
          <w:p>
            <w:r/>
            <w:r>
              <w:t>Measurement &amp; coding</w:t>
            </w:r>
          </w:p>
        </w:tc>
        <w:tc>
          <w:tcPr>
            <w:tcW w:type="dxa" w:w="864"/>
          </w:tcPr>
          <w:p>
            <w:r/>
            <w:r>
              <w:t>6</w:t>
            </w:r>
          </w:p>
        </w:tc>
        <w:tc>
          <w:tcPr>
            <w:tcW w:type="dxa" w:w="864"/>
          </w:tcPr>
          <w:p>
            <w:r/>
            <w:r>
              <w:t>18</w:t>
            </w:r>
          </w:p>
        </w:tc>
        <w:tc>
          <w:tcPr>
            <w:tcW w:type="dxa" w:w="864"/>
          </w:tcPr>
          <w:p>
            <w:r/>
            <w:r>
              <w:t>21</w:t>
            </w:r>
          </w:p>
        </w:tc>
        <w:tc>
          <w:tcPr>
            <w:tcW w:type="dxa" w:w="864"/>
          </w:tcPr>
          <w:p>
            <w:r/>
            <w:r>
              <w:t>2</w:t>
            </w:r>
          </w:p>
        </w:tc>
        <w:tc>
          <w:tcPr>
            <w:tcW w:type="dxa" w:w="864"/>
          </w:tcPr>
          <w:p>
            <w:r/>
            <w:r>
              <w:t>5</w:t>
            </w:r>
          </w:p>
        </w:tc>
        <w:tc>
          <w:tcPr>
            <w:tcW w:type="dxa" w:w="864"/>
          </w:tcPr>
          <w:p>
            <w:r/>
            <w:r>
              <w:t>4</w:t>
            </w:r>
          </w:p>
        </w:tc>
        <w:tc>
          <w:tcPr>
            <w:tcW w:type="dxa" w:w="864"/>
          </w:tcPr>
          <w:p>
            <w:r/>
            <w:r>
              <w:t>0</w:t>
            </w:r>
          </w:p>
        </w:tc>
        <w:tc>
          <w:tcPr>
            <w:tcW w:type="dxa" w:w="864"/>
          </w:tcPr>
          <w:p>
            <w:r/>
            <w:r>
              <w:t>5</w:t>
            </w:r>
          </w:p>
        </w:tc>
        <w:tc>
          <w:tcPr>
            <w:tcW w:type="dxa" w:w="864"/>
          </w:tcPr>
          <w:p>
            <w:r/>
            <w:r>
              <w:t>47</w:t>
            </w:r>
          </w:p>
        </w:tc>
      </w:tr>
      <w:tr>
        <w:tc>
          <w:tcPr>
            <w:tcW w:type="dxa" w:w="864"/>
          </w:tcPr>
          <w:p>
            <w:r/>
            <w:r>
              <w:t>Agenda, theory &amp; discovery</w:t>
            </w:r>
          </w:p>
        </w:tc>
        <w:tc>
          <w:tcPr>
            <w:tcW w:type="dxa" w:w="864"/>
          </w:tcPr>
          <w:p>
            <w:r/>
            <w:r>
              <w:t>5</w:t>
            </w:r>
          </w:p>
        </w:tc>
        <w:tc>
          <w:tcPr>
            <w:tcW w:type="dxa" w:w="864"/>
          </w:tcPr>
          <w:p>
            <w:r/>
            <w:r>
              <w:t>2</w:t>
            </w:r>
          </w:p>
        </w:tc>
        <w:tc>
          <w:tcPr>
            <w:tcW w:type="dxa" w:w="864"/>
          </w:tcPr>
          <w:p>
            <w:r/>
            <w:r>
              <w:t>18</w:t>
            </w:r>
          </w:p>
        </w:tc>
        <w:tc>
          <w:tcPr>
            <w:tcW w:type="dxa" w:w="864"/>
          </w:tcPr>
          <w:p>
            <w:r/>
            <w:r>
              <w:t>2</w:t>
            </w:r>
          </w:p>
        </w:tc>
        <w:tc>
          <w:tcPr>
            <w:tcW w:type="dxa" w:w="864"/>
          </w:tcPr>
          <w:p>
            <w:r/>
            <w:r>
              <w:t>6</w:t>
            </w:r>
          </w:p>
        </w:tc>
        <w:tc>
          <w:tcPr>
            <w:tcW w:type="dxa" w:w="864"/>
          </w:tcPr>
          <w:p>
            <w:r/>
            <w:r>
              <w:t>5</w:t>
            </w:r>
          </w:p>
        </w:tc>
        <w:tc>
          <w:tcPr>
            <w:tcW w:type="dxa" w:w="864"/>
          </w:tcPr>
          <w:p>
            <w:r/>
            <w:r>
              <w:t>0</w:t>
            </w:r>
          </w:p>
        </w:tc>
        <w:tc>
          <w:tcPr>
            <w:tcW w:type="dxa" w:w="864"/>
          </w:tcPr>
          <w:p>
            <w:r/>
            <w:r>
              <w:t>4</w:t>
            </w:r>
          </w:p>
        </w:tc>
        <w:tc>
          <w:tcPr>
            <w:tcW w:type="dxa" w:w="864"/>
          </w:tcPr>
          <w:p>
            <w:r/>
            <w:r>
              <w:t>48</w:t>
            </w:r>
          </w:p>
        </w:tc>
      </w:tr>
      <w:tr>
        <w:tc>
          <w:tcPr>
            <w:tcW w:type="dxa" w:w="864"/>
          </w:tcPr>
          <w:p>
            <w:r/>
            <w:r>
              <w:t>Evidence synthesis &amp; corpus</w:t>
            </w:r>
          </w:p>
        </w:tc>
        <w:tc>
          <w:tcPr>
            <w:tcW w:type="dxa" w:w="864"/>
          </w:tcPr>
          <w:p>
            <w:r/>
            <w:r>
              <w:t>5</w:t>
            </w:r>
          </w:p>
        </w:tc>
        <w:tc>
          <w:tcPr>
            <w:tcW w:type="dxa" w:w="864"/>
          </w:tcPr>
          <w:p>
            <w:r/>
            <w:r>
              <w:t>6</w:t>
            </w:r>
          </w:p>
        </w:tc>
        <w:tc>
          <w:tcPr>
            <w:tcW w:type="dxa" w:w="864"/>
          </w:tcPr>
          <w:p>
            <w:r/>
            <w:r>
              <w:t>9</w:t>
            </w:r>
          </w:p>
        </w:tc>
        <w:tc>
          <w:tcPr>
            <w:tcW w:type="dxa" w:w="864"/>
          </w:tcPr>
          <w:p>
            <w:r/>
            <w:r>
              <w:t>5</w:t>
            </w:r>
          </w:p>
        </w:tc>
        <w:tc>
          <w:tcPr>
            <w:tcW w:type="dxa" w:w="864"/>
          </w:tcPr>
          <w:p>
            <w:r/>
            <w:r>
              <w:t>10</w:t>
            </w:r>
          </w:p>
        </w:tc>
        <w:tc>
          <w:tcPr>
            <w:tcW w:type="dxa" w:w="864"/>
          </w:tcPr>
          <w:p>
            <w:r/>
            <w:r>
              <w:t>0</w:t>
            </w:r>
          </w:p>
        </w:tc>
        <w:tc>
          <w:tcPr>
            <w:tcW w:type="dxa" w:w="864"/>
          </w:tcPr>
          <w:p>
            <w:r/>
            <w:r>
              <w:t>2</w:t>
            </w:r>
          </w:p>
        </w:tc>
        <w:tc>
          <w:tcPr>
            <w:tcW w:type="dxa" w:w="864"/>
          </w:tcPr>
          <w:p>
            <w:r/>
            <w:r>
              <w:t>12</w:t>
            </w:r>
          </w:p>
        </w:tc>
        <w:tc>
          <w:tcPr>
            <w:tcW w:type="dxa" w:w="864"/>
          </w:tcPr>
          <w:p>
            <w:r/>
            <w:r>
              <w:t>41</w:t>
            </w:r>
          </w:p>
        </w:tc>
      </w:tr>
      <w:tr>
        <w:tc>
          <w:tcPr>
            <w:tcW w:type="dxa" w:w="864"/>
          </w:tcPr>
          <w:p>
            <w:r/>
            <w:r>
              <w:t>Interviews, fieldwork &amp; qualitative interpretation</w:t>
            </w:r>
          </w:p>
        </w:tc>
        <w:tc>
          <w:tcPr>
            <w:tcW w:type="dxa" w:w="864"/>
          </w:tcPr>
          <w:p>
            <w:r/>
            <w:r>
              <w:t>5</w:t>
            </w:r>
          </w:p>
        </w:tc>
        <w:tc>
          <w:tcPr>
            <w:tcW w:type="dxa" w:w="864"/>
          </w:tcPr>
          <w:p>
            <w:r/>
            <w:r>
              <w:t>10</w:t>
            </w:r>
          </w:p>
        </w:tc>
        <w:tc>
          <w:tcPr>
            <w:tcW w:type="dxa" w:w="864"/>
          </w:tcPr>
          <w:p>
            <w:r/>
            <w:r>
              <w:t>18</w:t>
            </w:r>
          </w:p>
        </w:tc>
        <w:tc>
          <w:tcPr>
            <w:tcW w:type="dxa" w:w="864"/>
          </w:tcPr>
          <w:p>
            <w:r/>
            <w:r>
              <w:t>6</w:t>
            </w:r>
          </w:p>
        </w:tc>
        <w:tc>
          <w:tcPr>
            <w:tcW w:type="dxa" w:w="864"/>
          </w:tcPr>
          <w:p>
            <w:r/>
            <w:r>
              <w:t>2</w:t>
            </w:r>
          </w:p>
        </w:tc>
        <w:tc>
          <w:tcPr>
            <w:tcW w:type="dxa" w:w="864"/>
          </w:tcPr>
          <w:p>
            <w:r/>
            <w:r>
              <w:t>12</w:t>
            </w:r>
          </w:p>
        </w:tc>
        <w:tc>
          <w:tcPr>
            <w:tcW w:type="dxa" w:w="864"/>
          </w:tcPr>
          <w:p>
            <w:r/>
            <w:r>
              <w:t>0</w:t>
            </w:r>
          </w:p>
        </w:tc>
        <w:tc>
          <w:tcPr>
            <w:tcW w:type="dxa" w:w="864"/>
          </w:tcPr>
          <w:p>
            <w:r/>
            <w:r>
              <w:t>2</w:t>
            </w:r>
          </w:p>
        </w:tc>
        <w:tc>
          <w:tcPr>
            <w:tcW w:type="dxa" w:w="864"/>
          </w:tcPr>
          <w:p>
            <w:r/>
            <w:r>
              <w:t>35</w:t>
            </w:r>
          </w:p>
        </w:tc>
      </w:tr>
      <w:tr>
        <w:tc>
          <w:tcPr>
            <w:tcW w:type="dxa" w:w="864"/>
          </w:tcPr>
          <w:p>
            <w:r/>
            <w:r>
              <w:t>Governance, authorship &amp; labor</w:t>
            </w:r>
          </w:p>
        </w:tc>
        <w:tc>
          <w:tcPr>
            <w:tcW w:type="dxa" w:w="864"/>
          </w:tcPr>
          <w:p>
            <w:r/>
            <w:r>
              <w:t>3</w:t>
            </w:r>
          </w:p>
        </w:tc>
        <w:tc>
          <w:tcPr>
            <w:tcW w:type="dxa" w:w="864"/>
          </w:tcPr>
          <w:p>
            <w:r/>
            <w:r>
              <w:t>2</w:t>
            </w:r>
          </w:p>
        </w:tc>
        <w:tc>
          <w:tcPr>
            <w:tcW w:type="dxa" w:w="864"/>
          </w:tcPr>
          <w:p>
            <w:r/>
            <w:r>
              <w:t>6</w:t>
            </w:r>
          </w:p>
        </w:tc>
        <w:tc>
          <w:tcPr>
            <w:tcW w:type="dxa" w:w="864"/>
          </w:tcPr>
          <w:p>
            <w:r/>
            <w:r>
              <w:t>2</w:t>
            </w:r>
          </w:p>
        </w:tc>
        <w:tc>
          <w:tcPr>
            <w:tcW w:type="dxa" w:w="864"/>
          </w:tcPr>
          <w:p>
            <w:r/>
            <w:r>
              <w:t>1</w:t>
            </w:r>
          </w:p>
        </w:tc>
        <w:tc>
          <w:tcPr>
            <w:tcW w:type="dxa" w:w="864"/>
          </w:tcPr>
          <w:p>
            <w:r/>
            <w:r>
              <w:t>0</w:t>
            </w:r>
          </w:p>
        </w:tc>
        <w:tc>
          <w:tcPr>
            <w:tcW w:type="dxa" w:w="864"/>
          </w:tcPr>
          <w:p>
            <w:r/>
            <w:r>
              <w:t>0</w:t>
            </w:r>
          </w:p>
        </w:tc>
        <w:tc>
          <w:tcPr>
            <w:tcW w:type="dxa" w:w="864"/>
          </w:tcPr>
          <w:p>
            <w:r/>
            <w:r>
              <w:t>4</w:t>
            </w:r>
          </w:p>
        </w:tc>
        <w:tc>
          <w:tcPr>
            <w:tcW w:type="dxa" w:w="864"/>
          </w:tcPr>
          <w:p>
            <w:r/>
            <w:r>
              <w:t>36</w:t>
            </w:r>
          </w:p>
        </w:tc>
      </w:tr>
      <w:tr>
        <w:tc>
          <w:tcPr>
            <w:tcW w:type="dxa" w:w="864"/>
          </w:tcPr>
          <w:p>
            <w:r/>
            <w:r>
              <w:t>Reproducibility &amp; autonomous research</w:t>
            </w:r>
          </w:p>
        </w:tc>
        <w:tc>
          <w:tcPr>
            <w:tcW w:type="dxa" w:w="864"/>
          </w:tcPr>
          <w:p>
            <w:r/>
            <w:r>
              <w:t>3</w:t>
            </w:r>
          </w:p>
        </w:tc>
        <w:tc>
          <w:tcPr>
            <w:tcW w:type="dxa" w:w="864"/>
          </w:tcPr>
          <w:p>
            <w:r/>
            <w:r>
              <w:t>5</w:t>
            </w:r>
          </w:p>
        </w:tc>
        <w:tc>
          <w:tcPr>
            <w:tcW w:type="dxa" w:w="864"/>
          </w:tcPr>
          <w:p>
            <w:r/>
            <w:r>
              <w:t>7</w:t>
            </w:r>
          </w:p>
        </w:tc>
        <w:tc>
          <w:tcPr>
            <w:tcW w:type="dxa" w:w="864"/>
          </w:tcPr>
          <w:p>
            <w:r/>
            <w:r>
              <w:t>1</w:t>
            </w:r>
          </w:p>
        </w:tc>
        <w:tc>
          <w:tcPr>
            <w:tcW w:type="dxa" w:w="864"/>
          </w:tcPr>
          <w:p>
            <w:r/>
            <w:r>
              <w:t>6</w:t>
            </w:r>
          </w:p>
        </w:tc>
        <w:tc>
          <w:tcPr>
            <w:tcW w:type="dxa" w:w="864"/>
          </w:tcPr>
          <w:p>
            <w:r/>
            <w:r>
              <w:t>0</w:t>
            </w:r>
          </w:p>
        </w:tc>
        <w:tc>
          <w:tcPr>
            <w:tcW w:type="dxa" w:w="864"/>
          </w:tcPr>
          <w:p>
            <w:r/>
            <w:r>
              <w:t>0</w:t>
            </w:r>
          </w:p>
        </w:tc>
        <w:tc>
          <w:tcPr>
            <w:tcW w:type="dxa" w:w="864"/>
          </w:tcPr>
          <w:p>
            <w:r/>
            <w:r>
              <w:t>5</w:t>
            </w:r>
          </w:p>
        </w:tc>
        <w:tc>
          <w:tcPr>
            <w:tcW w:type="dxa" w:w="864"/>
          </w:tcPr>
          <w:p>
            <w:r/>
            <w:r>
              <w:t>27</w:t>
            </w:r>
          </w:p>
        </w:tc>
      </w:tr>
      <w:tr>
        <w:tc>
          <w:tcPr>
            <w:tcW w:type="dxa" w:w="864"/>
          </w:tcPr>
          <w:p>
            <w:r/>
            <w:r>
              <w:t>Pedagogy &amp; training</w:t>
            </w:r>
          </w:p>
        </w:tc>
        <w:tc>
          <w:tcPr>
            <w:tcW w:type="dxa" w:w="864"/>
          </w:tcPr>
          <w:p>
            <w:r/>
            <w:r>
              <w:t>2</w:t>
            </w:r>
          </w:p>
        </w:tc>
        <w:tc>
          <w:tcPr>
            <w:tcW w:type="dxa" w:w="864"/>
          </w:tcPr>
          <w:p>
            <w:r/>
            <w:r>
              <w:t>6</w:t>
            </w:r>
          </w:p>
        </w:tc>
        <w:tc>
          <w:tcPr>
            <w:tcW w:type="dxa" w:w="864"/>
          </w:tcPr>
          <w:p>
            <w:r/>
            <w:r>
              <w:t>6</w:t>
            </w:r>
          </w:p>
        </w:tc>
        <w:tc>
          <w:tcPr>
            <w:tcW w:type="dxa" w:w="864"/>
          </w:tcPr>
          <w:p>
            <w:r/>
            <w:r>
              <w:t>3</w:t>
            </w:r>
          </w:p>
        </w:tc>
        <w:tc>
          <w:tcPr>
            <w:tcW w:type="dxa" w:w="864"/>
          </w:tcPr>
          <w:p>
            <w:r/>
            <w:r>
              <w:t>4</w:t>
            </w:r>
          </w:p>
        </w:tc>
        <w:tc>
          <w:tcPr>
            <w:tcW w:type="dxa" w:w="864"/>
          </w:tcPr>
          <w:p>
            <w:r/>
            <w:r>
              <w:t>1</w:t>
            </w:r>
          </w:p>
        </w:tc>
        <w:tc>
          <w:tcPr>
            <w:tcW w:type="dxa" w:w="864"/>
          </w:tcPr>
          <w:p>
            <w:r/>
            <w:r>
              <w:t>0</w:t>
            </w:r>
          </w:p>
        </w:tc>
        <w:tc>
          <w:tcPr>
            <w:tcW w:type="dxa" w:w="864"/>
          </w:tcPr>
          <w:p>
            <w:r/>
            <w:r>
              <w:t>1</w:t>
            </w:r>
          </w:p>
        </w:tc>
        <w:tc>
          <w:tcPr>
            <w:tcW w:type="dxa" w:w="864"/>
          </w:tcPr>
          <w:p>
            <w:r/>
            <w:r>
              <w:t>13</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b/>
        </w:rPr>
        <w:t>Table 3b.</w:t>
      </w:r>
      <w:r>
        <w:t xml:space="preserve"> Status distribution by primary AI capability.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Primary AI capability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Generative</w:t>
            </w:r>
          </w:p>
        </w:tc>
        <w:tc>
          <w:tcPr>
            <w:tcW w:type="dxa" w:w="864"/>
          </w:tcPr>
          <w:p>
            <w:r/>
            <w:r>
              <w:t>18</w:t>
            </w:r>
          </w:p>
        </w:tc>
        <w:tc>
          <w:tcPr>
            <w:tcW w:type="dxa" w:w="864"/>
          </w:tcPr>
          <w:p>
            <w:r/>
            <w:r>
              <w:t>26</w:t>
            </w:r>
          </w:p>
        </w:tc>
        <w:tc>
          <w:tcPr>
            <w:tcW w:type="dxa" w:w="864"/>
          </w:tcPr>
          <w:p>
            <w:r/>
            <w:r>
              <w:t>58</w:t>
            </w:r>
          </w:p>
        </w:tc>
        <w:tc>
          <w:tcPr>
            <w:tcW w:type="dxa" w:w="864"/>
          </w:tcPr>
          <w:p>
            <w:r/>
            <w:r>
              <w:t>13</w:t>
            </w:r>
          </w:p>
        </w:tc>
        <w:tc>
          <w:tcPr>
            <w:tcW w:type="dxa" w:w="864"/>
          </w:tcPr>
          <w:p>
            <w:r/>
            <w:r>
              <w:t>12</w:t>
            </w:r>
          </w:p>
        </w:tc>
        <w:tc>
          <w:tcPr>
            <w:tcW w:type="dxa" w:w="864"/>
          </w:tcPr>
          <w:p>
            <w:r/>
            <w:r>
              <w:t>11</w:t>
            </w:r>
          </w:p>
        </w:tc>
        <w:tc>
          <w:tcPr>
            <w:tcW w:type="dxa" w:w="864"/>
          </w:tcPr>
          <w:p>
            <w:r/>
            <w:r>
              <w:t>2</w:t>
            </w:r>
          </w:p>
        </w:tc>
        <w:tc>
          <w:tcPr>
            <w:tcW w:type="dxa" w:w="864"/>
          </w:tcPr>
          <w:p>
            <w:r/>
            <w:r>
              <w:t>18</w:t>
            </w:r>
          </w:p>
        </w:tc>
        <w:tc>
          <w:tcPr>
            <w:tcW w:type="dxa" w:w="864"/>
          </w:tcPr>
          <w:p>
            <w:r/>
            <w:r>
              <w:t>166</w:t>
            </w:r>
          </w:p>
        </w:tc>
      </w:tr>
      <w:tr>
        <w:tc>
          <w:tcPr>
            <w:tcW w:type="dxa" w:w="864"/>
          </w:tcPr>
          <w:p>
            <w:r/>
            <w:r>
              <w:t>Agentic</w:t>
            </w:r>
          </w:p>
        </w:tc>
        <w:tc>
          <w:tcPr>
            <w:tcW w:type="dxa" w:w="864"/>
          </w:tcPr>
          <w:p>
            <w:r/>
            <w:r>
              <w:t>12</w:t>
            </w:r>
          </w:p>
        </w:tc>
        <w:tc>
          <w:tcPr>
            <w:tcW w:type="dxa" w:w="864"/>
          </w:tcPr>
          <w:p>
            <w:r/>
            <w:r>
              <w:t>16</w:t>
            </w:r>
          </w:p>
        </w:tc>
        <w:tc>
          <w:tcPr>
            <w:tcW w:type="dxa" w:w="864"/>
          </w:tcPr>
          <w:p>
            <w:r/>
            <w:r>
              <w:t>25</w:t>
            </w:r>
          </w:p>
        </w:tc>
        <w:tc>
          <w:tcPr>
            <w:tcW w:type="dxa" w:w="864"/>
          </w:tcPr>
          <w:p>
            <w:r/>
            <w:r>
              <w:t>13</w:t>
            </w:r>
          </w:p>
        </w:tc>
        <w:tc>
          <w:tcPr>
            <w:tcW w:type="dxa" w:w="864"/>
          </w:tcPr>
          <w:p>
            <w:r/>
            <w:r>
              <w:t>22</w:t>
            </w:r>
          </w:p>
        </w:tc>
        <w:tc>
          <w:tcPr>
            <w:tcW w:type="dxa" w:w="864"/>
          </w:tcPr>
          <w:p>
            <w:r/>
            <w:r>
              <w:t>16</w:t>
            </w:r>
          </w:p>
        </w:tc>
        <w:tc>
          <w:tcPr>
            <w:tcW w:type="dxa" w:w="864"/>
          </w:tcPr>
          <w:p>
            <w:r/>
            <w:r>
              <w:t>0</w:t>
            </w:r>
          </w:p>
        </w:tc>
        <w:tc>
          <w:tcPr>
            <w:tcW w:type="dxa" w:w="864"/>
          </w:tcPr>
          <w:p>
            <w:r/>
            <w:r>
              <w:t>13</w:t>
            </w:r>
          </w:p>
        </w:tc>
        <w:tc>
          <w:tcPr>
            <w:tcW w:type="dxa" w:w="864"/>
          </w:tcPr>
          <w:p>
            <w:r/>
            <w:r>
              <w:t>99</w:t>
            </w:r>
          </w:p>
        </w:tc>
      </w:tr>
      <w:tr>
        <w:tc>
          <w:tcPr>
            <w:tcW w:type="dxa" w:w="864"/>
          </w:tcPr>
          <w:p>
            <w:r/>
            <w:r>
              <w:t>Predictive</w:t>
            </w:r>
          </w:p>
        </w:tc>
        <w:tc>
          <w:tcPr>
            <w:tcW w:type="dxa" w:w="864"/>
          </w:tcPr>
          <w:p>
            <w:r/>
            <w:r>
              <w:t>6</w:t>
            </w:r>
          </w:p>
        </w:tc>
        <w:tc>
          <w:tcPr>
            <w:tcW w:type="dxa" w:w="864"/>
          </w:tcPr>
          <w:p>
            <w:r/>
            <w:r>
              <w:t>14</w:t>
            </w:r>
          </w:p>
        </w:tc>
        <w:tc>
          <w:tcPr>
            <w:tcW w:type="dxa" w:w="864"/>
          </w:tcPr>
          <w:p>
            <w:r/>
            <w:r>
              <w:t>9</w:t>
            </w:r>
          </w:p>
        </w:tc>
        <w:tc>
          <w:tcPr>
            <w:tcW w:type="dxa" w:w="864"/>
          </w:tcPr>
          <w:p>
            <w:r/>
            <w:r>
              <w:t>4</w:t>
            </w:r>
          </w:p>
        </w:tc>
        <w:tc>
          <w:tcPr>
            <w:tcW w:type="dxa" w:w="864"/>
          </w:tcPr>
          <w:p>
            <w:r/>
            <w:r>
              <w:t>6</w:t>
            </w:r>
          </w:p>
        </w:tc>
        <w:tc>
          <w:tcPr>
            <w:tcW w:type="dxa" w:w="864"/>
          </w:tcPr>
          <w:p>
            <w:r/>
            <w:r>
              <w:t>12</w:t>
            </w:r>
          </w:p>
        </w:tc>
        <w:tc>
          <w:tcPr>
            <w:tcW w:type="dxa" w:w="864"/>
          </w:tcPr>
          <w:p>
            <w:r/>
            <w:r>
              <w:t>0</w:t>
            </w:r>
          </w:p>
        </w:tc>
        <w:tc>
          <w:tcPr>
            <w:tcW w:type="dxa" w:w="864"/>
          </w:tcPr>
          <w:p>
            <w:r/>
            <w:r>
              <w:t>6</w:t>
            </w:r>
          </w:p>
        </w:tc>
        <w:tc>
          <w:tcPr>
            <w:tcW w:type="dxa" w:w="864"/>
          </w:tcPr>
          <w:p>
            <w:r/>
            <w:r>
              <w:t>51</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Combined verdict.</w:t>
      </w:r>
      <w:r>
        <w:t xml:space="preserve"> The pre-specified primary confirmatory test is the per-role paired sign test (</w:t>
      </w:r>
      <w:r>
        <w:rPr>
          <w:i/>
        </w:rPr>
        <w:t>p</w:t>
      </w:r>
      <w:r>
        <w:t xml:space="preserve"> = 0.004 on 14 of 16 positive differences); the paired Wilcoxon on the same 16 differences yields </w:t>
      </w:r>
      <w:r>
        <w:rPr>
          <w:i/>
        </w:rPr>
        <w:t>W</w:t>
      </w:r>
      <w:r>
        <w:t xml:space="preserve"> = 7, </w:t>
      </w:r>
      <w:r>
        <w:rPr>
          <w:i/>
        </w:rPr>
        <w:t>p</w:t>
      </w:r>
      <w:r>
        <w:t xml:space="preserve"> = 0.0006. χ² on status × case-family is 87.67 (df=35, </w:t>
      </w:r>
      <w:r>
        <w:rPr>
          <w:i/>
        </w:rPr>
        <w:t>p</w:t>
      </w:r>
      <w:r>
        <w:t xml:space="preserve"> &lt; 10⁻⁵, V = 0.260); on status × AI capability, χ² = 29.80 (df=10, </w:t>
      </w:r>
      <w:r>
        <w:rPr>
          <w:i/>
        </w:rPr>
        <w:t>p</w:t>
      </w:r>
      <w:r>
        <w:t xml:space="preserve"> &lt; 10⁻³, V = 0.240). The 0.020 V gap is directional-only and uninterpretable absent the configural-invariance test pre-committed to v1.1.</w:t>
      </w:r>
    </w:p>
    <w:p>
      <w:r>
        <w:t xml:space="preserve">The script released with the database reports two Monte-Carlo permutation tests on the cross-lens contrast under explicitly different unit-of-randomization assumptions, and we report them with equal prominence rather than as a primary-versus-supplementary pair. The </w:t>
      </w:r>
      <w:r>
        <w:rPr>
          <w:i/>
        </w:rPr>
        <w:t>cell-level</w:t>
      </w:r>
      <w:r>
        <w:t xml:space="preserve"> Monte-Carlo test (10,000 permutations, seeds 20260423 and 20260424) treats the 612 role-coding cells as the units of randomization and yields </w:t>
      </w:r>
      <w:r>
        <w:rPr>
          <w:i/>
        </w:rPr>
        <w:t>p</w:t>
      </w:r>
      <w:r>
        <w:t xml:space="preserve"> = 0.0002 for case family and </w:t>
      </w:r>
      <w:r>
        <w:rPr>
          <w:i/>
        </w:rPr>
        <w:t>p</w:t>
      </w:r>
      <w:r>
        <w:t xml:space="preserve"> = 0.0012 for AI capability — but this null ignores within-case clustering (17 role-rows per case are not independent observations of role status). The </w:t>
      </w:r>
      <w:r>
        <w:rPr>
          <w:i/>
        </w:rPr>
        <w:t>case-level</w:t>
      </w:r>
      <w:r>
        <w:t xml:space="preserve"> Monte-Carlo test re-randomizes the 36 case-family labels under the clustering-aware null and yields </w:t>
      </w:r>
      <w:r>
        <w:rPr>
          <w:i/>
        </w:rPr>
        <w:t>p</w:t>
      </w:r>
      <w:r>
        <w:t xml:space="preserve"> = 0.58 for case family and </w:t>
      </w:r>
      <w:r>
        <w:rPr>
          <w:i/>
        </w:rPr>
        <w:t>p</w:t>
      </w:r>
      <w:r>
        <w:t xml:space="preserve"> = 0.33 for AI capability — i.e., once randomization respects the case as the unit, the H3 family-vs-capability cross-lens contrast is </w:t>
      </w:r>
      <w:r>
        <w:rPr>
          <w:i/>
        </w:rPr>
        <w:t>not significant</w:t>
      </w:r>
      <w:r>
        <w:t xml:space="preserve">. The cell-level test is descriptive of cell-level association; the case-level test is the inferentially-disciplined test for a 36-case sample. We additionally report a </w:t>
      </w:r>
      <w:r>
        <w:rPr>
          <w:i/>
        </w:rPr>
        <w:t>case-cluster bootstrap</w:t>
      </w:r>
      <w:r>
        <w:t xml:space="preserve"> (B = 2,000, seed 20260425, resampling cases with replacement), which yields V_family 95% CI [0.261, 0.430], V_capability 95% CI [0.193, 0.451], and V_gap 95% CI [−0.096, 0.156] with P(gap &gt; 0) = 0.69; the cluster-bootstrap CI on V_gap straddles zero and is consistent with the case-level Monte-Carlo result.</w:t>
      </w:r>
    </w:p>
    <w:p>
      <w:r>
        <w:t xml:space="preserve">A Holm step-down correction across the six pre-specified confirmatory tests (computed in </w:t>
      </w:r>
      <w:r>
        <w:rPr>
          <w:rFonts w:ascii="Consolas" w:hAnsi="Consolas"/>
          <w:sz w:val="21"/>
        </w:rPr>
        <w:t>scripts/section6_analysis.py</w:t>
      </w:r>
      <w:r>
        <w:t xml:space="preserve"> with running-max monotonicity enforcement) leaves the four cell-level tests significant: (1) cell-level Monte-Carlo on case family (raw </w:t>
      </w:r>
      <w:r>
        <w:rPr>
          <w:i/>
        </w:rPr>
        <w:t>p</w:t>
      </w:r>
      <w:r>
        <w:t xml:space="preserve"> = 0.0002, adj. 0.0012); (2) per-role Wilcoxon (raw 0.0006, adj. 0.003); (3) cell-level Monte-Carlo on AI capability (raw 0.0012, adj. 0.005); (4) per-role paired sign test (raw 0.004, adj. 0.013). Both case-level Monte-Carlos do not survive: (5) on AI capability (raw 0.33, adj. 0.66); (6) on case family (raw 0.58, adj. 0.66).</w:t>
      </w:r>
    </w:p>
    <w:p>
      <w:r>
        <w:t xml:space="preserve">H3 is therefore </w:t>
      </w:r>
      <w:r>
        <w:rPr>
          <w:i/>
        </w:rPr>
        <w:t>supported as a cell-level repository pattern but not significant under the clustering-aware case-level null at N</w:t>
      </w:r>
      <w:r>
        <w:t xml:space="preserve"> = 36 </w:t>
      </w:r>
      <w:r>
        <w:rPr>
          <w:i/>
        </w:rPr>
        <w:t>cases</w:t>
      </w:r>
      <w:r>
        <w:t xml:space="preserve">. The two lenses return the same direction at the cell level — case family is the stronger associate of role status (V = 0.260 vs. 0.240; V_family &gt; V_capability in 14 of 16 per-role tests) — but the case-level test does not have the power to detect a corresponding case-family effect at this sample size, and the manuscript should not over-claim. The pattern is consistent with Abbott's (1988) prediction that jurisdictional stability follows task structure rather than tool novelty, but the 36-case repository cannot license that theoretical claim at the population level; we do not generalize beyond the sample, and a 2027 extension that increases the case-level </w:t>
      </w:r>
      <w:r>
        <w:rPr>
          <w:i/>
        </w:rPr>
        <w:t>N</w:t>
      </w:r>
      <w:r>
        <w:t xml:space="preserve"> is the appropriate test of the case-level null.</w:t>
      </w:r>
    </w:p>
    <w:p>
      <w:r>
        <w:t>Removing the five autonomy-heavy system cases (25 and 26 Project APE, 32 AI Scientist, 33 Deep Research, 34 AgentSociety) barely moves the headline pattern.</w:t>
      </w:r>
    </w:p>
    <w:p>
      <w:r>
        <w:rPr>
          <w:b/>
        </w:rPr>
        <w:t>Table 4. Sensitivity to exclusion of autonomy-heavy system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Role</w:t>
            </w:r>
          </w:p>
        </w:tc>
        <w:tc>
          <w:tcPr>
            <w:tcW w:type="dxa" w:w="1440"/>
          </w:tcPr>
          <w:p>
            <w:r>
              <w:rPr>
                <w:b/>
              </w:rPr>
            </w:r>
            <w:r>
              <w:rPr>
                <w:b/>
              </w:rPr>
              <w:t>Robust (all / excl / Δ)</w:t>
            </w:r>
          </w:p>
        </w:tc>
        <w:tc>
          <w:tcPr>
            <w:tcW w:type="dxa" w:w="1440"/>
          </w:tcPr>
          <w:p>
            <w:r>
              <w:rPr>
                <w:b/>
              </w:rPr>
            </w:r>
            <w:r>
              <w:rPr>
                <w:b/>
              </w:rPr>
              <w:t>Conditional</w:t>
            </w:r>
          </w:p>
        </w:tc>
        <w:tc>
          <w:tcPr>
            <w:tcW w:type="dxa" w:w="1440"/>
          </w:tcPr>
          <w:p>
            <w:r>
              <w:rPr>
                <w:b/>
              </w:rPr>
            </w:r>
            <w:r>
              <w:rPr>
                <w:b/>
              </w:rPr>
              <w:t>Transformed</w:t>
            </w:r>
          </w:p>
        </w:tc>
        <w:tc>
          <w:tcPr>
            <w:tcW w:type="dxa" w:w="1440"/>
          </w:tcPr>
          <w:p>
            <w:r>
              <w:rPr>
                <w:b/>
              </w:rPr>
            </w:r>
            <w:r>
              <w:rPr>
                <w:b/>
              </w:rPr>
              <w:t>Shrinking</w:t>
            </w:r>
          </w:p>
        </w:tc>
        <w:tc>
          <w:tcPr>
            <w:tcW w:type="dxa" w:w="1440"/>
          </w:tcPr>
          <w:p>
            <w:r>
              <w:rPr>
                <w:b/>
              </w:rPr>
            </w:r>
            <w:r>
              <w:rPr>
                <w:b/>
              </w:rPr>
              <w:t>Split pressure</w:t>
            </w:r>
          </w:p>
        </w:tc>
      </w:tr>
      <w:tr>
        <w:tc>
          <w:tcPr>
            <w:tcW w:type="dxa" w:w="1440"/>
          </w:tcPr>
          <w:p>
            <w:r/>
            <w:r>
              <w:t>Protocol and provenance architect</w:t>
            </w:r>
          </w:p>
        </w:tc>
        <w:tc>
          <w:tcPr>
            <w:tcW w:type="dxa" w:w="1440"/>
          </w:tcPr>
          <w:p>
            <w:r/>
            <w:r>
              <w:t>15 / 12 / −3</w:t>
            </w:r>
          </w:p>
        </w:tc>
        <w:tc>
          <w:tcPr>
            <w:tcW w:type="dxa" w:w="1440"/>
          </w:tcPr>
          <w:p>
            <w:r/>
            <w:r>
              <w:t>5 / 5 / 0</w:t>
            </w:r>
          </w:p>
        </w:tc>
        <w:tc>
          <w:tcPr>
            <w:tcW w:type="dxa" w:w="1440"/>
          </w:tcPr>
          <w:p>
            <w:r/>
            <w:r>
              <w:t>7 / 6 / −1</w:t>
            </w:r>
          </w:p>
        </w:tc>
        <w:tc>
          <w:tcPr>
            <w:tcW w:type="dxa" w:w="1440"/>
          </w:tcPr>
          <w:p>
            <w:r/>
            <w:r>
              <w:t>0 / 0 / 0</w:t>
            </w:r>
          </w:p>
        </w:tc>
        <w:tc>
          <w:tcPr>
            <w:tcW w:type="dxa" w:w="1440"/>
          </w:tcPr>
          <w:p>
            <w:r/>
            <w:r>
              <w:t>4 / 4 / 0</w:t>
            </w:r>
          </w:p>
        </w:tc>
      </w:tr>
      <w:tr>
        <w:tc>
          <w:tcPr>
            <w:tcW w:type="dxa" w:w="1440"/>
          </w:tcPr>
          <w:p>
            <w:r/>
            <w:r>
              <w:t>Calibration architect</w:t>
            </w:r>
          </w:p>
        </w:tc>
        <w:tc>
          <w:tcPr>
            <w:tcW w:type="dxa" w:w="1440"/>
          </w:tcPr>
          <w:p>
            <w:r/>
            <w:r>
              <w:t>8 / 6 / −2</w:t>
            </w:r>
          </w:p>
        </w:tc>
        <w:tc>
          <w:tcPr>
            <w:tcW w:type="dxa" w:w="1440"/>
          </w:tcPr>
          <w:p>
            <w:r/>
            <w:r>
              <w:t>10 / 9 / −1</w:t>
            </w:r>
          </w:p>
        </w:tc>
        <w:tc>
          <w:tcPr>
            <w:tcW w:type="dxa" w:w="1440"/>
          </w:tcPr>
          <w:p>
            <w:r/>
            <w:r>
              <w:t>1 / 1 / 0</w:t>
            </w:r>
          </w:p>
        </w:tc>
        <w:tc>
          <w:tcPr>
            <w:tcW w:type="dxa" w:w="1440"/>
          </w:tcPr>
          <w:p>
            <w:r/>
            <w:r>
              <w:t>0 / 0 / 0</w:t>
            </w:r>
          </w:p>
        </w:tc>
        <w:tc>
          <w:tcPr>
            <w:tcW w:type="dxa" w:w="1440"/>
          </w:tcPr>
          <w:p>
            <w:r/>
            <w:r>
              <w:t>2 / 2 / 0</w:t>
            </w:r>
          </w:p>
        </w:tc>
      </w:tr>
      <w:tr>
        <w:tc>
          <w:tcPr>
            <w:tcW w:type="dxa" w:w="1440"/>
          </w:tcPr>
          <w:p>
            <w:r/>
            <w:r>
              <w:t>Accountability and labor allocator</w:t>
            </w:r>
          </w:p>
        </w:tc>
        <w:tc>
          <w:tcPr>
            <w:tcW w:type="dxa" w:w="1440"/>
          </w:tcPr>
          <w:p>
            <w:r/>
            <w:r>
              <w:t>5 / 4 / −1</w:t>
            </w:r>
          </w:p>
        </w:tc>
        <w:tc>
          <w:tcPr>
            <w:tcW w:type="dxa" w:w="1440"/>
          </w:tcPr>
          <w:p>
            <w:r/>
            <w:r>
              <w:t>8 / 7 / −1</w:t>
            </w:r>
          </w:p>
        </w:tc>
        <w:tc>
          <w:tcPr>
            <w:tcW w:type="dxa" w:w="1440"/>
          </w:tcPr>
          <w:p>
            <w:r/>
            <w:r>
              <w:t>7 / 6 / −1</w:t>
            </w:r>
          </w:p>
        </w:tc>
        <w:tc>
          <w:tcPr>
            <w:tcW w:type="dxa" w:w="1440"/>
          </w:tcPr>
          <w:p>
            <w:r/>
            <w:r>
              <w:t>0 / 0 / 0</w:t>
            </w:r>
          </w:p>
        </w:tc>
        <w:tc>
          <w:tcPr>
            <w:tcW w:type="dxa" w:w="1440"/>
          </w:tcPr>
          <w:p>
            <w:r/>
            <w:r>
              <w:t>6 / 5 / −1</w:t>
            </w:r>
          </w:p>
        </w:tc>
      </w:tr>
      <w:tr>
        <w:tc>
          <w:tcPr>
            <w:tcW w:type="dxa" w:w="1440"/>
          </w:tcPr>
          <w:p>
            <w:r/>
            <w:r>
              <w:t>Routine first-pass screener</w:t>
            </w:r>
          </w:p>
        </w:tc>
        <w:tc>
          <w:tcPr>
            <w:tcW w:type="dxa" w:w="1440"/>
          </w:tcPr>
          <w:p>
            <w:r/>
            <w:r>
              <w:t>0 / 0 / 0</w:t>
            </w:r>
          </w:p>
        </w:tc>
        <w:tc>
          <w:tcPr>
            <w:tcW w:type="dxa" w:w="1440"/>
          </w:tcPr>
          <w:p>
            <w:r/>
            <w:r>
              <w:t>0 / 0 / 0</w:t>
            </w:r>
          </w:p>
        </w:tc>
        <w:tc>
          <w:tcPr>
            <w:tcW w:type="dxa" w:w="1440"/>
          </w:tcPr>
          <w:p>
            <w:r/>
            <w:r>
              <w:t>0 / 0 / 0</w:t>
            </w:r>
          </w:p>
        </w:tc>
        <w:tc>
          <w:tcPr>
            <w:tcW w:type="dxa" w:w="1440"/>
          </w:tcPr>
          <w:p>
            <w:r/>
            <w:r>
              <w:t>13 / 9 / −4</w:t>
            </w:r>
          </w:p>
        </w:tc>
        <w:tc>
          <w:tcPr>
            <w:tcW w:type="dxa" w:w="1440"/>
          </w:tcPr>
          <w:p>
            <w:r/>
            <w:r>
              <w:t>0 / 0 / 0</w:t>
            </w:r>
          </w:p>
        </w:tc>
      </w:tr>
      <w:tr>
        <w:tc>
          <w:tcPr>
            <w:tcW w:type="dxa" w:w="1440"/>
          </w:tcPr>
          <w:p>
            <w:r/>
            <w:r>
              <w:t>Routine coder on high-consensus, ground-truth-rich tasks</w:t>
            </w:r>
          </w:p>
        </w:tc>
        <w:tc>
          <w:tcPr>
            <w:tcW w:type="dxa" w:w="1440"/>
          </w:tcPr>
          <w:p>
            <w:r/>
            <w:r>
              <w:t>0 / 0 / 0</w:t>
            </w:r>
          </w:p>
        </w:tc>
        <w:tc>
          <w:tcPr>
            <w:tcW w:type="dxa" w:w="1440"/>
          </w:tcPr>
          <w:p>
            <w:r/>
            <w:r>
              <w:t>1 / 1 / 0</w:t>
            </w:r>
          </w:p>
        </w:tc>
        <w:tc>
          <w:tcPr>
            <w:tcW w:type="dxa" w:w="1440"/>
          </w:tcPr>
          <w:p>
            <w:r/>
            <w:r>
              <w:t>0 / 0 / 0</w:t>
            </w:r>
          </w:p>
        </w:tc>
        <w:tc>
          <w:tcPr>
            <w:tcW w:type="dxa" w:w="1440"/>
          </w:tcPr>
          <w:p>
            <w:r/>
            <w:r>
              <w:t>15 / 12 / −3</w:t>
            </w:r>
          </w:p>
        </w:tc>
        <w:tc>
          <w:tcPr>
            <w:tcW w:type="dxa" w:w="1440"/>
          </w:tcPr>
          <w:p>
            <w:r/>
            <w:r>
              <w:t>1 / 1 / 0</w:t>
            </w:r>
          </w:p>
        </w:tc>
      </w:tr>
      <w:tr>
        <w:tc>
          <w:tcPr>
            <w:tcW w:type="dxa" w:w="1440"/>
          </w:tcPr>
          <w:p>
            <w:r/>
            <w:r>
              <w:t>Structural prose polisher / drafter</w:t>
            </w:r>
          </w:p>
        </w:tc>
        <w:tc>
          <w:tcPr>
            <w:tcW w:type="dxa" w:w="1440"/>
          </w:tcPr>
          <w:p>
            <w:r/>
            <w:r>
              <w:t>0 / 0 / 0</w:t>
            </w:r>
          </w:p>
        </w:tc>
        <w:tc>
          <w:tcPr>
            <w:tcW w:type="dxa" w:w="1440"/>
          </w:tcPr>
          <w:p>
            <w:r/>
            <w:r>
              <w:t>2 / 2 / 0</w:t>
            </w:r>
          </w:p>
        </w:tc>
        <w:tc>
          <w:tcPr>
            <w:tcW w:type="dxa" w:w="1440"/>
          </w:tcPr>
          <w:p>
            <w:r/>
            <w:r>
              <w:t>1 / 1 / 0</w:t>
            </w:r>
          </w:p>
        </w:tc>
        <w:tc>
          <w:tcPr>
            <w:tcW w:type="dxa" w:w="1440"/>
          </w:tcPr>
          <w:p>
            <w:r/>
            <w:r>
              <w:t>12 / 8 / −4</w:t>
            </w:r>
          </w:p>
        </w:tc>
        <w:tc>
          <w:tcPr>
            <w:tcW w:type="dxa" w:w="1440"/>
          </w:tcPr>
          <w:p>
            <w:r/>
            <w:r>
              <w:t>0 / 0 / 0</w:t>
            </w:r>
          </w:p>
        </w:tc>
      </w:tr>
    </w:tbl>
    <w:p/>
    <w:p>
      <w:r>
        <w:t xml:space="preserve">The five excluded cases contribute 11 of the 40 shrinking-task-cluster observations and 6 of the procedural-or-calibration </w:t>
      </w:r>
      <w:r>
        <w:rPr>
          <w:i/>
        </w:rPr>
        <w:t>robust</w:t>
      </w:r>
      <w:r>
        <w:t>/</w:t>
      </w:r>
      <w:r>
        <w:rPr>
          <w:i/>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 of 40 shrinking observations should be read as the full-repository figure, with 29 shrinking observations remaining under this exclusion.</w:t>
      </w:r>
    </w:p>
    <w:p>
      <w:pPr>
        <w:pStyle w:val="Heading2"/>
      </w:pPr>
      <w:r>
        <w:t>6.5 Bounded claims</w:t>
      </w:r>
    </w:p>
    <w:p>
      <w:r>
        <w:t xml:space="preserve">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w:t>
      </w:r>
      <w:r>
        <w:rPr>
          <w:i/>
        </w:rPr>
        <w:t>cell-level</w:t>
      </w:r>
      <w:r>
        <w:t xml:space="preserve"> repository pattern but is </w:t>
      </w:r>
      <w:r>
        <w:rPr>
          <w:i/>
        </w:rPr>
        <w:t>not</w:t>
      </w:r>
      <w:r>
        <w:t xml:space="preserve"> significant under the clustering-aware case-level null at N = 36: case family is the stronger associate of role status at the cell level (aggregate V = 0.260 versus 0.240 for capability; V_family &gt; V_capability in 14 of 16 per-role tests; cell-level Monte-Carlo </w:t>
      </w:r>
      <w:r>
        <w:rPr>
          <w:i/>
        </w:rPr>
        <w:t>p</w:t>
      </w:r>
      <w:r>
        <w:t xml:space="preserve"> = 0.0002 survives Holm correction) while the case-level Monte-Carlo </w:t>
      </w:r>
      <w:r>
        <w:rPr>
          <w:i/>
        </w:rPr>
        <w:t>p</w:t>
      </w:r>
      <w:r>
        <w:t xml:space="preserve"> = 0.58 does not, so the H3 conclusion is bounded to the cell-level association and the case-level test awaits a larger-</w:t>
      </w:r>
      <w:r>
        <w:rPr>
          <w:i/>
        </w:rPr>
        <w:t>N</w:t>
      </w:r>
      <w:r>
        <w:t xml:space="preserve"> extension. What it should not say is that the cell-level lift licenses a population-level claim that case family beats AI capability as the structural determinant of role status: that universal-law reading lies beyond what 36 cases can license under the clustering-aware null, and the 2027 hold-out at </w:t>
      </w:r>
      <w:r>
        <w:rPr>
          <w:i/>
        </w:rPr>
        <w:t>N</w:t>
      </w:r>
      <w:r>
        <w:t xml:space="preserve"> = 60 is the appropriate test of the case-level ceiling.</w:t>
      </w:r>
    </w:p>
    <w:p>
      <w:r>
        <w:t>Framed this way, the audit's claims are within-sample associations at N = 36, not population-level effect estimates or causal claims; the §7 prescriptive recommendations are normative inferences from the descriptive pattern, and the 2027 hold-out, the v1.1 within-case extension, the configural-invariance test, and a stranger-coder replication are the appropriate next instruments (King et al., 1994).</w:t>
      </w:r>
    </w:p>
    <w:p>
      <w:r>
        <w:t>The framework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pPr>
        <w:pStyle w:val="Heading2"/>
      </w:pPr>
      <w:r>
        <w:t>7.1 Findings synthesis</w:t>
      </w:r>
    </w:p>
    <w:p>
      <w:r>
        <w:t xml:space="preserve">Once the cases are aligned as a role-system dataset, the most interesting question is no longer whether AI can "do research" but which roles remain constitutive of </w:t>
      </w:r>
      <w:r>
        <w:rPr>
          <w:i/>
        </w:rPr>
        <w:t>epistemic validity</w:t>
      </w:r>
      <w:r>
        <w:t xml:space="preserve"> — the warrantability of a study's inferential claims — under generative, predictive, and agentic support. Roles tied to meaning, admissible procedure, calibration, provenance, and accountability are more durable than routine throughput clusters; some tasks shrink where evaluation is clean; some roles transform around authorship, disclosure, and labor allocation; and some inherited categories are no longer precise enough.</w:t>
      </w:r>
    </w:p>
    <w:p>
      <w:r>
        <w:t xml:space="preserve">The six statuses sort onto two aggregate dimensions of distinct theoretical provenance (§2.3). The </w:t>
      </w:r>
      <w:r>
        <w:rPr>
          <w:i/>
        </w:rPr>
        <w:t>allocation</w:t>
      </w:r>
      <w:r>
        <w:t xml:space="preserve"> axis (robust → conditional → transformed → shrinking) is deductively anchored to the automation-augmentation paradox (Raisch &amp; Krakowski, 2021; Autor, 2015) and tracks how human performance yields scope, content, then volume. The </w:t>
      </w:r>
      <w:r>
        <w:rPr>
          <w:i/>
        </w:rPr>
        <w:t>specification</w:t>
      </w:r>
      <w:r>
        <w:t xml:space="preserve"> axis (split and merge pressure) emerged inductively from constant comparison across cases (Gioia et al., 2013) and revises the unit of analysis itself. The two-axis structure was not visible at v0.1; it surfaced after Case 10's merge-pressure coding made it impossible to read split and merge as further points on the allocation axis. The typology is six rather than four because reconfiguration and reallocation are independent forms of jurisdictional revision (Abbott, 1988; Freidson, 2001).</w:t>
      </w:r>
    </w:p>
    <w:p>
      <w:pPr>
        <w:pStyle w:val="Heading2"/>
      </w:pPr>
      <w:r>
        <w:t>7.2 Three propositions for the 2027 hold-out</w:t>
      </w:r>
    </w:p>
    <w:p>
      <w:r>
        <w:t xml:space="preserve">The two-axis framing yields three forward-looking propositions for the pre-specified 2027 hold-out (target </w:t>
      </w:r>
      <w:r>
        <w:rPr>
          <w:i/>
        </w:rPr>
        <w:t>N</w:t>
      </w:r>
      <w:r>
        <w:t xml:space="preserve"> = 60; analysis script </w:t>
      </w:r>
      <w:r>
        <w:rPr>
          <w:rFonts w:ascii="Consolas" w:hAnsi="Consolas"/>
          <w:sz w:val="21"/>
        </w:rPr>
        <w:t>scripts/section7_2027_holdout.py</w:t>
      </w:r>
      <w:r>
        <w:t xml:space="preserve"> filed at the release tag): </w:t>
      </w:r>
      <w:r>
        <w:rPr>
          <w:i/>
        </w:rPr>
        <w:t>P1.</w:t>
      </w:r>
      <w:r>
        <w:t xml:space="preserve"> procedural roles co-occur as a single epistemic-guardian configuration; </w:t>
      </w:r>
      <w:r>
        <w:rPr>
          <w:i/>
        </w:rPr>
        <w:t>P2.</w:t>
      </w:r>
      <w:r>
        <w:t xml:space="preserve"> shrinkage clusters where </w:t>
      </w:r>
      <w:r>
        <w:rPr>
          <w:i/>
        </w:rPr>
        <w:t>public-ground-truth</w:t>
      </w:r>
      <w:r>
        <w:t xml:space="preserve"> ∨ </w:t>
      </w:r>
      <w:r>
        <w:rPr>
          <w:i/>
        </w:rPr>
        <w:t>post-hoc-auditability</w:t>
      </w:r>
      <w:r>
        <w:t xml:space="preserve"> holds, not where AI capability is highest; </w:t>
      </w:r>
      <w:r>
        <w:rPr>
          <w:i/>
        </w:rPr>
        <w:t>P3.</w:t>
      </w:r>
      <w:r>
        <w:t xml:space="preserve"> as agentic autonomy rises, protocol-and-provenance and accountability-and-labor undergo merge pressure rather than independent transformation.</w:t>
      </w:r>
    </w:p>
    <w:p>
      <w:pPr>
        <w:pStyle w:val="Heading2"/>
      </w:pPr>
      <w:r>
        <w:t>7.3 Stakeholder recommendations</w:t>
      </w:r>
    </w:p>
    <w:p>
      <w:r>
        <w:t xml:space="preserve">The rubric serves three audiences. </w:t>
      </w:r>
      <w:r>
        <w:rPr>
          <w:i/>
        </w:rPr>
        <w:t>Methods researchers</w:t>
      </w:r>
      <w:r>
        <w:t xml:space="preserve"> receive a role-first vocabulary and six behaviorally-anchored statuses applicable to a new case without consulting the underlying database. </w:t>
      </w:r>
      <w:r>
        <w:rPr>
          <w:i/>
        </w:rPr>
        <w:t>Reviewers and editors</w:t>
      </w:r>
      <w:r>
        <w:t xml:space="preserve"> receive an audit scaffold: the role × status table and the §3.1 exemplar index let them locate whether a manuscript's automation claims operate at the task-cluster layer (where shrinkage is defensible) or the role layer (where evidence in this repository does not support disappearance). </w:t>
      </w:r>
      <w:r>
        <w:rPr>
          <w:i/>
        </w:rPr>
        <w:t>Institutional actors</w:t>
      </w:r>
      <w:r>
        <w:t xml:space="preserve"> — PhD methods curricula, replication archives, methods-policy committees — receive a diagnostic for which roles warrant curricular and editorial investment as throughput tasks migrate. Table 5 maps these audiences onto research stages; Table 6 specifies status-by-status authorial imperatives with implied coordination mechanisms.</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Stage</w:t>
            </w:r>
          </w:p>
        </w:tc>
        <w:tc>
          <w:tcPr>
            <w:tcW w:type="dxa" w:w="2160"/>
          </w:tcPr>
          <w:p>
            <w:r>
              <w:rPr>
                <w:b/>
              </w:rPr>
            </w:r>
            <w:r>
              <w:rPr>
                <w:b/>
              </w:rPr>
              <w:t>Methods researchers</w:t>
            </w:r>
          </w:p>
        </w:tc>
        <w:tc>
          <w:tcPr>
            <w:tcW w:type="dxa" w:w="2160"/>
          </w:tcPr>
          <w:p>
            <w:r>
              <w:rPr>
                <w:b/>
              </w:rPr>
            </w:r>
            <w:r>
              <w:rPr>
                <w:b/>
              </w:rPr>
              <w:t>Reviewers and editors</w:t>
            </w:r>
          </w:p>
        </w:tc>
        <w:tc>
          <w:tcPr>
            <w:tcW w:type="dxa" w:w="2160"/>
          </w:tcPr>
          <w:p>
            <w:r>
              <w:rPr>
                <w:b/>
              </w:rPr>
            </w:r>
            <w:r>
              <w:rPr>
                <w:b/>
              </w:rPr>
              <w:t>Institutional actors</w:t>
            </w:r>
          </w:p>
        </w:tc>
      </w:tr>
      <w:tr>
        <w:tc>
          <w:tcPr>
            <w:tcW w:type="dxa" w:w="2160"/>
          </w:tcPr>
          <w:p>
            <w:r/>
            <w:r>
              <w:t>Planning</w:t>
            </w:r>
          </w:p>
        </w:tc>
        <w:tc>
          <w:tcPr>
            <w:tcW w:type="dxa" w:w="2160"/>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160"/>
          </w:tcPr>
          <w:p>
            <w:r/>
            <w:r>
              <w:t>Require a pre-coding rubric with behaviorally anchored status definitions; reject blanket automation claims not tied to a named role.</w:t>
            </w:r>
          </w:p>
        </w:tc>
        <w:tc>
          <w:tcPr>
            <w:tcW w:type="dxa" w:w="2160"/>
          </w:tcPr>
          <w:p>
            <w:r/>
            <w:r>
              <w:t>Fund role-level training modules in PhD methods curricula: procedure and provenance architecture, calibration, accountability (cf. Cases 2, 27 as robust-procedure exemplars).</w:t>
            </w:r>
          </w:p>
        </w:tc>
      </w:tr>
      <w:tr>
        <w:tc>
          <w:tcPr>
            <w:tcW w:type="dxa" w:w="2160"/>
          </w:tcPr>
          <w:p>
            <w:r/>
            <w:r>
              <w:t>Implementation</w:t>
            </w:r>
          </w:p>
        </w:tc>
        <w:tc>
          <w:tcPr>
            <w:tcW w:type="dxa" w:w="2160"/>
          </w:tcPr>
          <w:p>
            <w:r/>
            <w:r>
              <w:t>Code at the role × case level; record the quoted sentences that anchor the status assignment; keep a disagreement log when two coders diverge (cf. Case 10 Hajishirzi merge-pressure requiring joint-object coding).</w:t>
            </w:r>
          </w:p>
        </w:tc>
        <w:tc>
          <w:tcPr>
            <w:tcW w:type="dxa" w:w="2160"/>
          </w:tcPr>
          <w:p>
            <w:r/>
            <w:r>
              <w:t>On a submitted manuscript, locate whether each automation claim operates at the task-cluster layer (cf. Case 1 Törnberg objective-annotation shrinkage) or at the role layer (where disappearance requires stronger evidence).</w:t>
            </w:r>
          </w:p>
        </w:tc>
        <w:tc>
          <w:tcPr>
            <w:tcW w:type="dxa" w:w="2160"/>
          </w:tcPr>
          <w:p>
            <w:r/>
            <w:r>
              <w:t>Maintain replication archives that capture role-level codings, not only outcome statistics; require a rubric version tag on deposits.</w:t>
            </w:r>
          </w:p>
        </w:tc>
      </w:tr>
      <w:tr>
        <w:tc>
          <w:tcPr>
            <w:tcW w:type="dxa" w:w="2160"/>
          </w:tcPr>
          <w:p>
            <w:r/>
            <w:r>
              <w:t>Reporting</w:t>
            </w:r>
          </w:p>
        </w:tc>
        <w:tc>
          <w:tcPr>
            <w:tcW w:type="dxa" w:w="2160"/>
          </w:tcPr>
          <w:p>
            <w:r/>
            <w:r>
              <w:t>Release the role-coding CSV alongside the paper; report Cohen's κ on a subsample as a limitation alongside other limitations.</w:t>
            </w:r>
          </w:p>
        </w:tc>
        <w:tc>
          <w:tcPr>
            <w:tcW w:type="dxa" w:w="2160"/>
          </w:tcPr>
          <w:p>
            <w:r/>
            <w:r>
              <w:t>Check that claims sit inside the ceiling the reliability evidence supports; flag auditable-instrument claims made on single-coder evidence (cf. the reliability disclosure in this paper's §6).</w:t>
            </w:r>
          </w:p>
        </w:tc>
        <w:tc>
          <w:tcPr>
            <w:tcW w:type="dxa" w:w="2160"/>
          </w:tcPr>
          <w:p>
            <w:r/>
            <w:r>
              <w:t>Publish aggregate role-status distributions from deposited datasets as a public benchmark against which new cases can be compared.</w:t>
            </w:r>
          </w:p>
        </w:tc>
      </w:tr>
    </w:tbl>
    <w:p/>
    <w:p>
      <w:r>
        <w:rPr>
          <w:b/>
        </w:rPr>
        <w:t>Table 6. Status-conditional authorial recommendations.</w:t>
      </w:r>
      <w:r>
        <w:t xml:space="preserve"> One conditional recommendation per status, with the exemplar case from §3.1, the implied human-AI coordination mechanism, and the count of role × case cells coded at that status in the current repository (denominator = 612 cells throughout). The recommendations are scope-conditioned to the §2 framework licensing; deviations may be appropriate where the case's research configuration warrants them.</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Status</w:t>
            </w:r>
          </w:p>
        </w:tc>
        <w:tc>
          <w:tcPr>
            <w:tcW w:type="dxa" w:w="1728"/>
          </w:tcPr>
          <w:p>
            <w:r>
              <w:rPr>
                <w:b/>
              </w:rPr>
            </w:r>
            <w:r>
              <w:rPr>
                <w:b/>
              </w:rPr>
              <w:t>Authors should consider…</w:t>
            </w:r>
          </w:p>
        </w:tc>
        <w:tc>
          <w:tcPr>
            <w:tcW w:type="dxa" w:w="1728"/>
          </w:tcPr>
          <w:p>
            <w:r>
              <w:rPr>
                <w:b/>
              </w:rPr>
            </w:r>
            <w:r>
              <w:rPr>
                <w:b/>
              </w:rPr>
              <w:t>Implied coordination mechanism</w:t>
            </w:r>
          </w:p>
        </w:tc>
        <w:tc>
          <w:tcPr>
            <w:tcW w:type="dxa" w:w="1728"/>
          </w:tcPr>
          <w:p>
            <w:r>
              <w:rPr>
                <w:b/>
              </w:rPr>
            </w:r>
            <w:r>
              <w:rPr>
                <w:b/>
              </w:rPr>
              <w:t>Exemplar case</w:t>
            </w:r>
          </w:p>
        </w:tc>
        <w:tc>
          <w:tcPr>
            <w:tcW w:type="dxa" w:w="1728"/>
          </w:tcPr>
          <w:p>
            <w:r>
              <w:rPr>
                <w:b/>
              </w:rPr>
            </w:r>
            <w:r>
              <w:rPr>
                <w:b/>
              </w:rPr>
              <w:t>Repository count</w:t>
            </w:r>
          </w:p>
        </w:tc>
      </w:tr>
      <w:tr>
        <w:tc>
          <w:tcPr>
            <w:tcW w:type="dxa" w:w="1728"/>
          </w:tcPr>
          <w:p>
            <w:r/>
            <w:r>
              <w:t>Robust</w:t>
            </w:r>
          </w:p>
        </w:tc>
        <w:tc>
          <w:tcPr>
            <w:tcW w:type="dxa" w:w="1728"/>
          </w:tcPr>
          <w:p>
            <w:r/>
            <w:r>
              <w:t>…where the role is treated as load-bearing for inferences, tying it to a methods or limitations claim and specifying the validity loss AI substitution would incur.</w:t>
            </w:r>
          </w:p>
        </w:tc>
        <w:tc>
          <w:tcPr>
            <w:tcW w:type="dxa" w:w="1728"/>
          </w:tcPr>
          <w:p>
            <w:r/>
            <w:r>
              <w:t>Human-as-sole-performer; AI excluded from this role-cell.</w:t>
            </w:r>
          </w:p>
        </w:tc>
        <w:tc>
          <w:tcPr>
            <w:tcW w:type="dxa" w:w="1728"/>
          </w:tcPr>
          <w:p>
            <w:r/>
            <w:r>
              <w:t>Keith, 2026 / Case 2</w:t>
            </w:r>
          </w:p>
        </w:tc>
        <w:tc>
          <w:tcPr>
            <w:tcW w:type="dxa" w:w="1728"/>
          </w:tcPr>
          <w:p>
            <w:r/>
            <w:r>
              <w:t>56 / 612 cells robust (15 of 36 cases carry ≥ 1)</w:t>
            </w:r>
          </w:p>
        </w:tc>
      </w:tr>
      <w:tr>
        <w:tc>
          <w:tcPr>
            <w:tcW w:type="dxa" w:w="1728"/>
          </w:tcPr>
          <w:p>
            <w:r/>
            <w:r>
              <w:t>Conditional</w:t>
            </w:r>
          </w:p>
        </w:tc>
        <w:tc>
          <w:tcPr>
            <w:tcW w:type="dxa" w:w="1728"/>
          </w:tcPr>
          <w:p>
            <w:r/>
            <w:r>
              <w:t>…naming at least one moderator variable under which human performance is required and reporting empirical variation in AI adequacy across that moderator.</w:t>
            </w:r>
          </w:p>
        </w:tc>
        <w:tc>
          <w:tcPr>
            <w:tcW w:type="dxa" w:w="1728"/>
          </w:tcPr>
          <w:p>
            <w:r/>
            <w:r>
              <w:t>Moderator-gated sign-off: AI performs the role and a human signs off contingent on the named moderator.</w:t>
            </w:r>
          </w:p>
        </w:tc>
        <w:tc>
          <w:tcPr>
            <w:tcW w:type="dxa" w:w="1728"/>
          </w:tcPr>
          <w:p>
            <w:r/>
            <w:r>
              <w:t>Baccolini, 2026 / Case 7</w:t>
            </w:r>
          </w:p>
        </w:tc>
        <w:tc>
          <w:tcPr>
            <w:tcW w:type="dxa" w:w="1728"/>
          </w:tcPr>
          <w:p>
            <w:r/>
            <w:r>
              <w:t>92 / 612 cells conditional</w:t>
            </w:r>
          </w:p>
        </w:tc>
      </w:tr>
      <w:tr>
        <w:tc>
          <w:tcPr>
            <w:tcW w:type="dxa" w:w="1728"/>
          </w:tcPr>
          <w:p>
            <w:r/>
            <w:r>
              <w:t>Transformed</w:t>
            </w:r>
          </w:p>
        </w:tc>
        <w:tc>
          <w:tcPr>
            <w:tcW w:type="dxa" w:w="1728"/>
          </w:tcPr>
          <w:p>
            <w:r/>
            <w:r>
              <w:t>…using before/after language or a verb swap; naming new sub-tasks (disclosure, credit allocation, calibration audit) as new rather than as extensions.</w:t>
            </w:r>
          </w:p>
        </w:tc>
        <w:tc>
          <w:tcPr>
            <w:tcW w:type="dxa" w:w="1728"/>
          </w:tcPr>
          <w:p>
            <w:r/>
            <w:r>
              <w:t>Content-redefined human role: AI absorbs the prior content, the human's task list changes around it (Puranam, 2021).</w:t>
            </w:r>
          </w:p>
        </w:tc>
        <w:tc>
          <w:tcPr>
            <w:tcW w:type="dxa" w:w="1728"/>
          </w:tcPr>
          <w:p>
            <w:r/>
            <w:r>
              <w:t>Yin, n.d. / Case 29</w:t>
            </w:r>
          </w:p>
        </w:tc>
        <w:tc>
          <w:tcPr>
            <w:tcW w:type="dxa" w:w="1728"/>
          </w:tcPr>
          <w:p>
            <w:r/>
            <w:r>
              <w:t>30 / 612 cells transformed</w:t>
            </w:r>
          </w:p>
        </w:tc>
      </w:tr>
      <w:tr>
        <w:tc>
          <w:tcPr>
            <w:tcW w:type="dxa" w:w="1728"/>
          </w:tcPr>
          <w:p>
            <w:r/>
            <w:r>
              <w:t>Shrinking</w:t>
            </w:r>
          </w:p>
        </w:tc>
        <w:tc>
          <w:tcPr>
            <w:tcW w:type="dxa" w:w="1728"/>
          </w:tcPr>
          <w:p>
            <w:r/>
            <w:r>
              <w:t>…reporting the public ground truth or high-consensus target; characterizing residual human labor as rescue, triage, or verification; not extending the shrinkage claim to role-layer disappearance.</w:t>
            </w:r>
          </w:p>
        </w:tc>
        <w:tc>
          <w:tcPr>
            <w:tcW w:type="dxa" w:w="1728"/>
          </w:tcPr>
          <w:p>
            <w:r/>
            <w:r>
              <w:t>Exception-handling oversight: AI as default performer, human routed in for triage and rescue only.</w:t>
            </w:r>
          </w:p>
        </w:tc>
        <w:tc>
          <w:tcPr>
            <w:tcW w:type="dxa" w:w="1728"/>
          </w:tcPr>
          <w:p>
            <w:r/>
            <w:r>
              <w:t>Törnberg, 2025 / Case 1</w:t>
            </w:r>
          </w:p>
        </w:tc>
        <w:tc>
          <w:tcPr>
            <w:tcW w:type="dxa" w:w="1728"/>
          </w:tcPr>
          <w:p>
            <w:r/>
            <w:r>
              <w:t>40 / 612 cells shrinking (concentrated in 11 cases)</w:t>
            </w:r>
          </w:p>
        </w:tc>
      </w:tr>
      <w:tr>
        <w:tc>
          <w:tcPr>
            <w:tcW w:type="dxa" w:w="1728"/>
          </w:tcPr>
          <w:p>
            <w:r/>
            <w:r>
              <w:t>Split pressure</w:t>
            </w:r>
          </w:p>
        </w:tc>
        <w:tc>
          <w:tcPr>
            <w:tcW w:type="dxa" w:w="1728"/>
          </w:tcPr>
          <w:p>
            <w:r/>
            <w:r>
              <w:t>…showing that AI performance differs across the conflated sub-activities; distinguishing the sub-activities in the analysis and revising the typology accordingly.</w:t>
            </w:r>
          </w:p>
        </w:tc>
        <w:tc>
          <w:tcPr>
            <w:tcW w:type="dxa" w:w="1728"/>
          </w:tcPr>
          <w:p>
            <w:r/>
            <w:r>
              <w:t>Role bifurcation: two separately-coordinated sub-roles, each with its own performer assignment.</w:t>
            </w:r>
          </w:p>
        </w:tc>
        <w:tc>
          <w:tcPr>
            <w:tcW w:type="dxa" w:w="1728"/>
          </w:tcPr>
          <w:p>
            <w:r/>
            <w:r>
              <w:t>Gligorić, n.d. / Case 3</w:t>
            </w:r>
          </w:p>
        </w:tc>
        <w:tc>
          <w:tcPr>
            <w:tcW w:type="dxa" w:w="1728"/>
          </w:tcPr>
          <w:p>
            <w:r/>
            <w:r>
              <w:t>39 / 612 cells split pressure (7 of 8 starting roles triggered)</w:t>
            </w:r>
          </w:p>
        </w:tc>
      </w:tr>
      <w:tr>
        <w:tc>
          <w:tcPr>
            <w:tcW w:type="dxa" w:w="1728"/>
          </w:tcPr>
          <w:p>
            <w:r/>
            <w:r>
              <w:t>Merge pressure</w:t>
            </w:r>
          </w:p>
        </w:tc>
        <w:tc>
          <w:tcPr>
            <w:tcW w:type="dxa" w:w="1728"/>
          </w:tcPr>
          <w:p>
            <w:r/>
            <w:r>
              <w:t>…reporting evidence that the two roles are inseparable in practice within the case; treating them as a joint object rather than as independent activities.</w:t>
            </w:r>
          </w:p>
        </w:tc>
        <w:tc>
          <w:tcPr>
            <w:tcW w:type="dxa" w:w="1728"/>
          </w:tcPr>
          <w:p>
            <w:r/>
            <w:r>
              <w:t>Joint-object coordination: the two role-cells must be performed by a single accountable unit.</w:t>
            </w:r>
          </w:p>
        </w:tc>
        <w:tc>
          <w:tcPr>
            <w:tcW w:type="dxa" w:w="1728"/>
          </w:tcPr>
          <w:p>
            <w:r/>
            <w:r>
              <w:t>Hajishirzi, 2026 / Case 10</w:t>
            </w:r>
          </w:p>
        </w:tc>
        <w:tc>
          <w:tcPr>
            <w:tcW w:type="dxa" w:w="1728"/>
          </w:tcPr>
          <w:p>
            <w:r/>
            <w:r>
              <w:t>2 / 612 cells (both on Case 10)</w:t>
            </w:r>
          </w:p>
        </w:tc>
      </w:tr>
    </w:tbl>
    <w:p/>
    <w:p>
      <w:r>
        <w:t xml:space="preserve">The contribution is the comparative typology audit itself — the worked application of a six-status rubric to 36 source-backed cases of AI in research, fusing a deductive automation-augmentation skeleton with two inductively surfaced specification operations (split and merge pressure) the cases would not let us drop. The audit yields three released artifacts that operationalize the framework for downstream use: (1) the v1.0 rubric — a behaviorally-anchored instrument for coding role-status change at the (role × case) cell level; (2) the applied-use pipeline — case CSV, codebook, decision tree (Appendix E), reviewer-audit checklist (Appendix F) — at the v1.0.0-ORM-submission release tag; (3) the disconfirmation apparatus — pre-committed 2027 hold-out, human second-coder pass, and parallel-rubric application by independent groups on a 2027–2030 sample. The audit sits within computational social science (Lazer et al., 2009, 2020) at a level the existing CSS literature has under-theorized: not the pipeline (Hickman et al., 2022) and not the model, but the activity-level role within which both pipeline and model are embedded. We acknowledge a governmentality dimension: once the six statuses circulate as a measurement convention, researchers will plausibly organize their work around the rubric, which will partly </w:t>
      </w:r>
      <w:r>
        <w:rPr>
          <w:i/>
        </w:rPr>
        <w:t>produce</w:t>
      </w:r>
      <w:r>
        <w:t xml:space="preserve"> the role-system it claims to describe; this is the inescapable side of any methodological-rubric output. We hope this audit serves as a catalyst for instrument-grade comparative audits of role-system change under AI embedding. The empirical terrain has changed: not from human research to machine research, but from one research role system to another.</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CC-BY-4.0); (2) </w:t>
      </w:r>
      <w:r>
        <w:rPr>
          <w:rFonts w:ascii="Consolas" w:hAnsi="Consolas"/>
          <w:sz w:val="21"/>
        </w:rPr>
        <w:t>cases_master.csv</w:t>
      </w:r>
      <w:r>
        <w:t xml:space="preserve"> (36 cases, CC-BY-4.0); (3) </w:t>
      </w:r>
      <w:r>
        <w:rPr>
          <w:rFonts w:ascii="Consolas" w:hAnsi="Consolas"/>
          <w:sz w:val="21"/>
        </w:rPr>
        <w:t>role_coding_secondcoder_subsample.csv</w:t>
      </w:r>
      <w:r>
        <w:t xml:space="preserve"> (68 rows, released concurrently with Appendix B κ); (4) the codebook with a date-stamped version history; (5a) </w:t>
      </w:r>
      <w:r>
        <w:rPr>
          <w:rFonts w:ascii="Consolas" w:hAnsi="Consolas"/>
          <w:sz w:val="21"/>
        </w:rPr>
        <w:t>scripts/section6_analysis.py</w:t>
      </w:r>
      <w:r>
        <w:t xml:space="preserve"> (MIT) reproduces every inferential value in §6 — χ² = 87.67 (family) and 29.80 (capability), Cramér's </w:t>
      </w:r>
      <w:r>
        <w:rPr>
          <w:i/>
        </w:rPr>
        <w:t>V</w:t>
      </w:r>
      <w:r>
        <w:t xml:space="preserve"> = 0.260 (family) and 0.240 (capability), cell-level Monte-Carlo </w:t>
      </w:r>
      <w:r>
        <w:rPr>
          <w:i/>
        </w:rPr>
        <w:t>p</w:t>
      </w:r>
      <w:r>
        <w:t xml:space="preserve"> = 0.0002 / 0.0012 (seeds 20260423 and 20260424), case-level Monte-Carlo </w:t>
      </w:r>
      <w:r>
        <w:rPr>
          <w:i/>
        </w:rPr>
        <w:t>p</w:t>
      </w:r>
      <w:r>
        <w:t xml:space="preserve"> = 0.58 / 0.33 under the clustering-aware null, case-cluster bootstrap </w:t>
      </w:r>
      <w:r>
        <w:rPr>
          <w:i/>
        </w:rPr>
        <w:t>V</w:t>
      </w:r>
      <w:r>
        <w:t xml:space="preserve"> CIs (</w:t>
      </w:r>
      <w:r>
        <w:rPr>
          <w:i/>
        </w:rPr>
        <w:t>B</w:t>
      </w:r>
      <w:r>
        <w:t xml:space="preserve"> = 2,000, seed 20260425), per-role paired Wilcoxon </w:t>
      </w:r>
      <w:r>
        <w:rPr>
          <w:i/>
        </w:rPr>
        <w:t>W</w:t>
      </w:r>
      <w:r>
        <w:t xml:space="preserve"> = 7 / </w:t>
      </w:r>
      <w:r>
        <w:rPr>
          <w:i/>
        </w:rPr>
        <w:t>p</w:t>
      </w:r>
      <w:r>
        <w:t xml:space="preserve"> = 0.0006 and the sign-test companion </w:t>
      </w:r>
      <w:r>
        <w:rPr>
          <w:i/>
        </w:rPr>
        <w:t>p</w:t>
      </w:r>
      <w:r>
        <w:t xml:space="preserve"> = 0.004, </w:t>
      </w:r>
      <w:r>
        <w:rPr>
          <w:i/>
        </w:rPr>
        <w:t>V</w:t>
      </w:r>
      <w:r>
        <w:t xml:space="preserve">_family = 0.267 on the 204 high-confidence rows, and Holm-adjusted </w:t>
      </w:r>
      <w:r>
        <w:rPr>
          <w:i/>
        </w:rPr>
        <w:t>p</w:t>
      </w:r>
      <w:r>
        <w:t xml:space="preserve">-values across the six-test confirmatory family. (5b) </w:t>
      </w:r>
      <w:r>
        <w:rPr>
          <w:rFonts w:ascii="Consolas" w:hAnsi="Consolas"/>
          <w:sz w:val="21"/>
        </w:rPr>
        <w:t>scripts/appendix_b_reliability.py</w:t>
      </w:r>
      <w:r>
        <w:t xml:space="preserve"> (MIT) reproduces every reliability value in §6 and Appendix B — Cohen's κ = 0.289 with bootstrap 95% CI [0.147, 0.439] (</w:t>
      </w:r>
      <w:r>
        <w:rPr>
          <w:i/>
        </w:rPr>
        <w:t>B</w:t>
      </w:r>
      <w:r>
        <w:t xml:space="preserve"> = 2,000, seed 20260423), per-status κ (robust 0.402, shrinking 0.549, conditional 0.009, transformed 0.000), and Krippendorff's α = 0.278 (7-cat) / 0.298 (8-cat). Runtime is under 60 s on a 2023 laptop; dependencies are pinned in </w:t>
      </w:r>
      <w:r>
        <w:rPr>
          <w:rFonts w:ascii="Consolas" w:hAnsi="Consolas"/>
          <w:sz w:val="21"/>
        </w:rPr>
        <w:t>requirements.txt</w:t>
      </w:r>
      <w:r>
        <w:t xml:space="preserve">. (6) Appendices B (inter-coder reliability), C (application protocol), D (full 17-role sensitivity table), E (coder checklist, instrument-grade), and F (reviewer-audit checklist), all under CC-BY-4.0; Appendix A — the released codebook itself — is held as a versioned artifact at the release tag rather than reproduced inside this manuscript.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pre-analysis plan in </w:t>
      </w:r>
      <w:r>
        <w:rPr>
          <w:rFonts w:ascii="Consolas" w:hAnsi="Consolas"/>
          <w:sz w:val="21"/>
        </w:rPr>
        <w:t>30_reviews/OSF_preregistration.md</w:t>
      </w:r>
      <w:r>
        <w:t xml:space="preserve">, released with the database at tag </w:t>
      </w:r>
      <w:r>
        <w:rPr>
          <w:rFonts w:ascii="Consolas" w:hAnsi="Consolas"/>
          <w:sz w:val="21"/>
        </w:rPr>
        <w:t>v1.0.0-ORM-submission</w:t>
      </w:r>
      <w:r>
        <w:t>. The pre-analysis plan documents the subsample, the coder-blindness protocol, the κ ≥ 0.60 acceptance threshold, and the tie-breaker-revision remedy.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Generative AI was used in three explicitly bounded ways under the disclosure standard adopted by ORM in 2025. (a) A sandboxed LLM agent served as the independent second coder for the 68-cell reliability subsample described in §6.2 and Appendix B, with context restricted to the rubric and case files. (b) LLMs were used for prose editing of the manuscript and for structured extraction during database upkeep. (c) No generative AI system proposed or revised role-status assignments in the first-author main coding pass (n = 612 cells), and no AI system is listed as an author. All evidence verification, coding judgments, interpretive claims, and final manuscript text remain subject to human review and approval. H1, H2, and H3 were specified before the main coding pass; the sign test was identified as the primary confirmatory test before analysis; all other inferential objects in §6 are reported as robustness checks. The codebook version history is released with the database.</w:t>
      </w:r>
    </w:p>
    <w:p>
      <w:pPr>
        <w:pStyle w:val="Heading1"/>
      </w:pPr>
      <w:r>
        <w:t>References</w:t>
      </w:r>
    </w:p>
    <w:p>
      <w:r>
        <w:t xml:space="preserve">Abbott, A. (1988). </w:t>
      </w:r>
      <w:r>
        <w:rPr>
          <w:i/>
        </w:rPr>
        <w:t>The system of professions: An essay on the division of expert labor</w:t>
      </w:r>
      <w:r>
        <w:t>. University of Chicago Press.</w:t>
      </w:r>
    </w:p>
    <w:p>
      <w:r>
        <w:t xml:space="preserve">Abbott, A. (2005). Linked ecologies: States and universities as environments for professions. </w:t>
      </w:r>
      <w:r>
        <w:rPr>
          <w:i/>
        </w:rPr>
        <w:t>Sociological Theory</w:t>
      </w:r>
      <w:r>
        <w:t xml:space="preserve">, </w:t>
      </w:r>
      <w:r>
        <w:rPr>
          <w:i/>
        </w:rPr>
        <w:t>23</w:t>
      </w:r>
      <w:r>
        <w:t>(3), 245–274.</w:t>
      </w:r>
    </w:p>
    <w:p>
      <w:r>
        <w:t xml:space="preserve">Aguinis, H., Ramani, R. S., &amp; Alabduljader, N. (2023). Best-practice recommendations for producers, evaluators, and users of methodological literature reviews. </w:t>
      </w:r>
      <w:r>
        <w:rPr>
          <w:i/>
        </w:rPr>
        <w:t>Organizational Research Methods</w:t>
      </w:r>
      <w:r>
        <w:t xml:space="preserve">, </w:t>
      </w:r>
      <w:r>
        <w:rPr>
          <w:i/>
        </w:rPr>
        <w:t>26</w:t>
      </w:r>
      <w:r>
        <w:t>(1), 46–76. https://doi.org/10.1177/1094428120943281</w:t>
      </w:r>
    </w:p>
    <w:p>
      <w:r>
        <w:t xml:space="preserve">Aldrich, H. E., &amp; Ruef, M. (2006). </w:t>
      </w:r>
      <w:r>
        <w:rPr>
          <w:i/>
        </w:rPr>
        <w:t>Organizations evolving</w:t>
      </w:r>
      <w:r>
        <w:t xml:space="preserve"> (2nd ed.). Sage.</w:t>
      </w:r>
    </w:p>
    <w:p>
      <w:r>
        <w:t xml:space="preserve">Autor, D. H. (2015). Why are there still so many jobs? The history and future of workplace automation. </w:t>
      </w:r>
      <w:r>
        <w:rPr>
          <w:i/>
        </w:rPr>
        <w:t>Journal of Economic Perspectives</w:t>
      </w:r>
      <w:r>
        <w:t xml:space="preserve">, </w:t>
      </w:r>
      <w:r>
        <w:rPr>
          <w:i/>
        </w:rPr>
        <w:t>29</w:t>
      </w:r>
      <w:r>
        <w:t>(3), 3–30.</w:t>
      </w:r>
    </w:p>
    <w:p>
      <w:r>
        <w:t>Baccolini, R. (2026). Compact large language models for title and abstract screening in systematic reviews: An assessment of feasibility, accuracy, and workload reduction.</w:t>
      </w:r>
    </w:p>
    <w:p>
      <w:r>
        <w:t xml:space="preserve">Bail, C. A. (2024). Can generative AI improve social science? </w:t>
      </w:r>
      <w:r>
        <w:rPr>
          <w:i/>
        </w:rPr>
        <w:t>Proceedings of the National Academy of Sciences</w:t>
      </w:r>
      <w:r>
        <w:t xml:space="preserve">, </w:t>
      </w:r>
      <w:r>
        <w:rPr>
          <w:i/>
        </w:rPr>
        <w:t>121</w:t>
      </w:r>
      <w:r>
        <w:t>(21), e2314021121.</w:t>
      </w:r>
    </w:p>
    <w:p>
      <w:r>
        <w:t xml:space="preserve">Barley, S. R. (1986). Technology as an occasion for structuring: Evidence from observations of CT scanners and the social order of radiology departments. </w:t>
      </w:r>
      <w:r>
        <w:rPr>
          <w:i/>
        </w:rPr>
        <w:t>Administrative Science Quarterly</w:t>
      </w:r>
      <w:r>
        <w:t xml:space="preserve">, </w:t>
      </w:r>
      <w:r>
        <w:rPr>
          <w:i/>
        </w:rPr>
        <w:t>31</w:t>
      </w:r>
      <w:r>
        <w:t>(1), 78–108.</w:t>
      </w:r>
    </w:p>
    <w:p>
      <w:r>
        <w:t xml:space="preserve">Barley, S. R., &amp; Kunda, G. (2001). Bringing work back in. </w:t>
      </w:r>
      <w:r>
        <w:rPr>
          <w:i/>
        </w:rPr>
        <w:t>Organization Science</w:t>
      </w:r>
      <w:r>
        <w:t xml:space="preserve">, </w:t>
      </w:r>
      <w:r>
        <w:rPr>
          <w:i/>
        </w:rPr>
        <w:t>12</w:t>
      </w:r>
      <w:r>
        <w:t>(1), 76–95.</w:t>
      </w:r>
    </w:p>
    <w:p>
      <w:r>
        <w:t xml:space="preserve">Bergh, D. D., Sharp, B. M., Aguinis, H., &amp; Li, M. (2017). Is there a credibility crisis in strategic management research? Evidence on the reproducibility of study findings. </w:t>
      </w:r>
      <w:r>
        <w:rPr>
          <w:i/>
        </w:rPr>
        <w:t>Strategic Organization</w:t>
      </w:r>
      <w:r>
        <w:t xml:space="preserve">, </w:t>
      </w:r>
      <w:r>
        <w:rPr>
          <w:i/>
        </w:rPr>
        <w:t>15</w:t>
      </w:r>
      <w:r>
        <w:t>(3), 423–436.</w:t>
      </w:r>
    </w:p>
    <w:p>
      <w:r>
        <w:t>Bleier, A. (n.d.). Automating computational reproducibility in social science: Comparing prompt-based and agent-based approaches.</w:t>
      </w:r>
    </w:p>
    <w:p>
      <w:r>
        <w:t xml:space="preserve">Bommasani, R., et al. (2022). On the opportunities and risks of foundation models. </w:t>
      </w:r>
      <w:r>
        <w:rPr>
          <w:i/>
        </w:rPr>
        <w:t>arXiv:2108.07258</w:t>
      </w:r>
      <w:r>
        <w:t>.</w:t>
      </w:r>
    </w:p>
    <w:p>
      <w:r>
        <w:t xml:space="preserve">Borsboom, D., Mellenbergh, G. J., &amp; van Heerden, J. (2004). The concept of validity. </w:t>
      </w:r>
      <w:r>
        <w:rPr>
          <w:i/>
        </w:rPr>
        <w:t>Psychological Review</w:t>
      </w:r>
      <w:r>
        <w:t xml:space="preserve">, </w:t>
      </w:r>
      <w:r>
        <w:rPr>
          <w:i/>
        </w:rPr>
        <w:t>111</w:t>
      </w:r>
      <w:r>
        <w:t>(4), 1061–1071.</w:t>
      </w:r>
    </w:p>
    <w:p>
      <w:r>
        <w:t xml:space="preserve">Brynjolfsson, E., &amp; Mitchell, T. (2017). What can machine learning do? Workforce implications. </w:t>
      </w:r>
      <w:r>
        <w:rPr>
          <w:i/>
        </w:rPr>
        <w:t>Science</w:t>
      </w:r>
      <w:r>
        <w:t xml:space="preserve">, </w:t>
      </w:r>
      <w:r>
        <w:rPr>
          <w:i/>
        </w:rPr>
        <w:t>358</w:t>
      </w:r>
      <w:r>
        <w:t>(6370), 1530–1534.</w:t>
      </w:r>
    </w:p>
    <w:p>
      <w:r>
        <w:t xml:space="preserve">Chang, Y., et al. (2024). A survey on evaluation of large language models. </w:t>
      </w:r>
      <w:r>
        <w:rPr>
          <w:i/>
        </w:rPr>
        <w:t>ACM Transactions on Intelligent Systems and Technology</w:t>
      </w:r>
      <w:r>
        <w:t xml:space="preserve">, </w:t>
      </w:r>
      <w:r>
        <w:rPr>
          <w:i/>
        </w:rPr>
        <w:t>15</w:t>
      </w:r>
      <w:r>
        <w:t>(3), 1–45.</w:t>
      </w:r>
    </w:p>
    <w:p>
      <w:r>
        <w:t xml:space="preserve">Cornelissen, J. P. (2017). Editor's comments: Developing propositions, a process model, or a typology? Addressing the challenges of writing theory without a boilerplate. </w:t>
      </w:r>
      <w:r>
        <w:rPr>
          <w:i/>
        </w:rPr>
        <w:t>Academy of Management Review</w:t>
      </w:r>
      <w:r>
        <w:t xml:space="preserve">, </w:t>
      </w:r>
      <w:r>
        <w:rPr>
          <w:i/>
        </w:rPr>
        <w:t>42</w:t>
      </w:r>
      <w:r>
        <w:t>(1), 1–9.</w:t>
      </w:r>
    </w:p>
    <w:p>
      <w:r>
        <w:t xml:space="preserve">Cornelissen, J. P., Höllerer, M. A., &amp; Seidl, D. (2021). What theory is and can be: Forms of theorizing in organizational scholarship. </w:t>
      </w:r>
      <w:r>
        <w:rPr>
          <w:i/>
        </w:rPr>
        <w:t>Organization Theory</w:t>
      </w:r>
      <w:r>
        <w:t xml:space="preserve">, </w:t>
      </w:r>
      <w:r>
        <w:rPr>
          <w:i/>
        </w:rPr>
        <w:t>2</w:t>
      </w:r>
      <w:r>
        <w:t>(3), 1–19.</w:t>
      </w:r>
    </w:p>
    <w:p>
      <w:r>
        <w:t>Cox, J. (n.d.). AI disclosure with DAISY.</w:t>
      </w:r>
    </w:p>
    <w:p>
      <w:r>
        <w:t xml:space="preserve">Cronbach, L. J., &amp; Meehl, P. E. (1955). Construct validity in psychological tests. </w:t>
      </w:r>
      <w:r>
        <w:rPr>
          <w:i/>
        </w:rPr>
        <w:t>Psychological Bulletin</w:t>
      </w:r>
      <w:r>
        <w:t xml:space="preserve">, </w:t>
      </w:r>
      <w:r>
        <w:rPr>
          <w:i/>
        </w:rPr>
        <w:t>52</w:t>
      </w:r>
      <w:r>
        <w:t>(4), 281–302.</w:t>
      </w:r>
    </w:p>
    <w:p>
      <w:r>
        <w:t xml:space="preserve">Delbridge, R., &amp; Fiss, P. C. (2013). Editors' comments: Styles of theorizing and the social organization of knowledge. </w:t>
      </w:r>
      <w:r>
        <w:rPr>
          <w:i/>
        </w:rPr>
        <w:t>Academy of Management Review</w:t>
      </w:r>
      <w:r>
        <w:t xml:space="preserve">, </w:t>
      </w:r>
      <w:r>
        <w:rPr>
          <w:i/>
        </w:rPr>
        <w:t>38</w:t>
      </w:r>
      <w:r>
        <w:t>(3), 325–331.</w:t>
      </w:r>
    </w:p>
    <w:p>
      <w:r>
        <w:t xml:space="preserve">Diamantopoulos, A., &amp; Winklhofer, H. M. (2001). Index construction with formative indicators: An alternative to scale development. </w:t>
      </w:r>
      <w:r>
        <w:rPr>
          <w:i/>
        </w:rPr>
        <w:t>Journal of Marketing Research</w:t>
      </w:r>
      <w:r>
        <w:t xml:space="preserve">, </w:t>
      </w:r>
      <w:r>
        <w:rPr>
          <w:i/>
        </w:rPr>
        <w:t>38</w:t>
      </w:r>
      <w:r>
        <w:t>(2), 269–277.</w:t>
      </w:r>
    </w:p>
    <w:p>
      <w:r>
        <w:t xml:space="preserve">Doty, D. H., &amp; Glick, W. H. (1994). Typologies as a unique form of theory building: Toward improved understanding and modeling. </w:t>
      </w:r>
      <w:r>
        <w:rPr>
          <w:i/>
        </w:rPr>
        <w:t>Academy of Management Review</w:t>
      </w:r>
      <w:r>
        <w:t xml:space="preserve">, </w:t>
      </w:r>
      <w:r>
        <w:rPr>
          <w:i/>
        </w:rPr>
        <w:t>19</w:t>
      </w:r>
      <w:r>
        <w:t>(2), 230–251.</w:t>
      </w:r>
    </w:p>
    <w:p>
      <w:r>
        <w:t xml:space="preserve">Duriau, V. J., Reger, R. K., &amp; Pfarrer, M. D. (2007). A content analysis of the content analysis literature in organization studies. </w:t>
      </w:r>
      <w:r>
        <w:rPr>
          <w:i/>
        </w:rPr>
        <w:t>Organizational Research Methods</w:t>
      </w:r>
      <w:r>
        <w:t xml:space="preserve">, </w:t>
      </w:r>
      <w:r>
        <w:rPr>
          <w:i/>
        </w:rPr>
        <w:t>10</w:t>
      </w:r>
      <w:r>
        <w:t>(1), 5–34.</w:t>
      </w:r>
    </w:p>
    <w:p>
      <w:r>
        <w:t xml:space="preserve">Edwards, J. R., &amp; Bagozzi, R. P. (2000). On the nature and direction of relationships between constructs and measures. </w:t>
      </w:r>
      <w:r>
        <w:rPr>
          <w:i/>
        </w:rPr>
        <w:t>Psychological Methods</w:t>
      </w:r>
      <w:r>
        <w:t xml:space="preserve">, </w:t>
      </w:r>
      <w:r>
        <w:rPr>
          <w:i/>
        </w:rPr>
        <w:t>5</w:t>
      </w:r>
      <w:r>
        <w:t>(2), 155–174.</w:t>
      </w:r>
    </w:p>
    <w:p>
      <w:r>
        <w:t xml:space="preserve">Eisenhardt, K. M. (1989). Building theories from case study research. </w:t>
      </w:r>
      <w:r>
        <w:rPr>
          <w:i/>
        </w:rPr>
        <w:t>Academy of Management Review</w:t>
      </w:r>
      <w:r>
        <w:t xml:space="preserve">, </w:t>
      </w:r>
      <w:r>
        <w:rPr>
          <w:i/>
        </w:rPr>
        <w:t>14</w:t>
      </w:r>
      <w:r>
        <w:t>(4), 532–550.</w:t>
      </w:r>
    </w:p>
    <w:p>
      <w:r>
        <w:t xml:space="preserve">Eisenhardt, K. M. (2021). What is the Eisenhardt method, really? </w:t>
      </w:r>
      <w:r>
        <w:rPr>
          <w:i/>
        </w:rPr>
        <w:t>Strategic Organization</w:t>
      </w:r>
      <w:r>
        <w:t xml:space="preserve">, </w:t>
      </w:r>
      <w:r>
        <w:rPr>
          <w:i/>
        </w:rPr>
        <w:t>19</w:t>
      </w:r>
      <w:r>
        <w:t>(1), 147–160.</w:t>
      </w:r>
    </w:p>
    <w:p>
      <w:r>
        <w:t xml:space="preserve">Eyal, G. (2013). For a sociology of expertise: The social origins of the autism epidemic. </w:t>
      </w:r>
      <w:r>
        <w:rPr>
          <w:i/>
        </w:rPr>
        <w:t>American Journal of Sociology</w:t>
      </w:r>
      <w:r>
        <w:t xml:space="preserve">, </w:t>
      </w:r>
      <w:r>
        <w:rPr>
          <w:i/>
        </w:rPr>
        <w:t>118</w:t>
      </w:r>
      <w:r>
        <w:t>(4), 863–907.</w:t>
      </w:r>
    </w:p>
    <w:p>
      <w:r>
        <w:t xml:space="preserve">Faraj, S., &amp; Pachidi, S. (2021). Beyond Uberization: The co-constitution of technology and organizing. </w:t>
      </w:r>
      <w:r>
        <w:rPr>
          <w:i/>
        </w:rPr>
        <w:t>Organization Theory</w:t>
      </w:r>
      <w:r>
        <w:t xml:space="preserve">, </w:t>
      </w:r>
      <w:r>
        <w:rPr>
          <w:i/>
        </w:rPr>
        <w:t>2</w:t>
      </w:r>
      <w:r>
        <w:t>(1), 1–14.</w:t>
      </w:r>
    </w:p>
    <w:p>
      <w:r>
        <w:t xml:space="preserve">Feldman, M. S., &amp; Pentland, B. T. (2003). Reconceptualizing organizational routines as a source of flexibility and change. </w:t>
      </w:r>
      <w:r>
        <w:rPr>
          <w:i/>
        </w:rPr>
        <w:t>Administrative Science Quarterly</w:t>
      </w:r>
      <w:r>
        <w:t xml:space="preserve">, </w:t>
      </w:r>
      <w:r>
        <w:rPr>
          <w:i/>
        </w:rPr>
        <w:t>48</w:t>
      </w:r>
      <w:r>
        <w:t>(1), 94–118.</w:t>
      </w:r>
    </w:p>
    <w:p>
      <w:r>
        <w:t xml:space="preserve">Fiss, P. C. (2011). Building better causal theories: A fuzzy set approach to typologies in organization research. </w:t>
      </w:r>
      <w:r>
        <w:rPr>
          <w:i/>
        </w:rPr>
        <w:t>Academy of Management Journal</w:t>
      </w:r>
      <w:r>
        <w:t xml:space="preserve">, </w:t>
      </w:r>
      <w:r>
        <w:rPr>
          <w:i/>
        </w:rPr>
        <w:t>54</w:t>
      </w:r>
      <w:r>
        <w:t>(2), 393–420.</w:t>
      </w:r>
    </w:p>
    <w:p>
      <w:r>
        <w:t xml:space="preserve">Flyvbjerg, B. (2006). Five misunderstandings about case-study research. </w:t>
      </w:r>
      <w:r>
        <w:rPr>
          <w:i/>
        </w:rPr>
        <w:t>Qualitative Inquiry</w:t>
      </w:r>
      <w:r>
        <w:t xml:space="preserve">, </w:t>
      </w:r>
      <w:r>
        <w:rPr>
          <w:i/>
        </w:rPr>
        <w:t>12</w:t>
      </w:r>
      <w:r>
        <w:t>(2), 219–245.</w:t>
      </w:r>
    </w:p>
    <w:p>
      <w:r>
        <w:t xml:space="preserve">Freidson, E. (2001). </w:t>
      </w:r>
      <w:r>
        <w:rPr>
          <w:i/>
        </w:rPr>
        <w:t>Professionalism, the third logic: On the practice of knowledge</w:t>
      </w:r>
      <w:r>
        <w:t>. University of Chicago Press.</w:t>
      </w:r>
    </w:p>
    <w:p>
      <w:r>
        <w:t xml:space="preserve">Frey, C. B., &amp; Osborne, M. A. (2017). The future of employment: How susceptible are jobs to computerisation? </w:t>
      </w:r>
      <w:r>
        <w:rPr>
          <w:i/>
        </w:rPr>
        <w:t>Technological Forecasting and Social Change</w:t>
      </w:r>
      <w:r>
        <w:t xml:space="preserve">, </w:t>
      </w:r>
      <w:r>
        <w:rPr>
          <w:i/>
        </w:rPr>
        <w:t>114</w:t>
      </w:r>
      <w:r>
        <w:t>, 254–280.</w:t>
      </w:r>
    </w:p>
    <w:p>
      <w:r>
        <w:t xml:space="preserve">Furnari, S., Crilly, D., Misangyi, V. F., Greckhamer, T., Fiss, P. C., &amp; Aguilera, R. V. (2021). Capturing causal complexity: Heuristics for configurational theorizing. </w:t>
      </w:r>
      <w:r>
        <w:rPr>
          <w:i/>
        </w:rPr>
        <w:t>Academy of Management Review</w:t>
      </w:r>
      <w:r>
        <w:t xml:space="preserve">, </w:t>
      </w:r>
      <w:r>
        <w:rPr>
          <w:i/>
        </w:rPr>
        <w:t>46</w:t>
      </w:r>
      <w:r>
        <w:t>(4), 778–799.</w:t>
      </w:r>
    </w:p>
    <w:p>
      <w:r>
        <w:t xml:space="preserve">Gelman, A., &amp; Loken, E. (2014). The statistical crisis in science. </w:t>
      </w:r>
      <w:r>
        <w:rPr>
          <w:i/>
        </w:rPr>
        <w:t>American Scientist</w:t>
      </w:r>
      <w:r>
        <w:t xml:space="preserve">, </w:t>
      </w:r>
      <w:r>
        <w:rPr>
          <w:i/>
        </w:rPr>
        <w:t>102</w:t>
      </w:r>
      <w:r>
        <w:t>(6), 460–465.</w:t>
      </w:r>
    </w:p>
    <w:p>
      <w:r>
        <w:t xml:space="preserve">Gioia, D. A., Corley, K. G., &amp; Hamilton, A. L. (2013). Seeking qualitative rigor in inductive research: Notes on the Gioia methodology. </w:t>
      </w:r>
      <w:r>
        <w:rPr>
          <w:i/>
        </w:rPr>
        <w:t>Organizational Research Methods</w:t>
      </w:r>
      <w:r>
        <w:t xml:space="preserve">, </w:t>
      </w:r>
      <w:r>
        <w:rPr>
          <w:i/>
        </w:rPr>
        <w:t>16</w:t>
      </w:r>
      <w:r>
        <w:t>(1), 15–31.</w:t>
      </w:r>
    </w:p>
    <w:p>
      <w:r>
        <w:t>Gligorić, K. (n.d.). Multi-perspective LLM annotations for valid analyses in subjective tasks.</w:t>
      </w:r>
    </w:p>
    <w:p>
      <w:r>
        <w:t xml:space="preserve">Grossmann, I., Feinberg, M., Parker, D. C., Christakis, N. A., Tetlock, P. E., &amp; Cunningham, W. A. (2023). AI and the transformation of social science research. </w:t>
      </w:r>
      <w:r>
        <w:rPr>
          <w:i/>
        </w:rPr>
        <w:t>Science</w:t>
      </w:r>
      <w:r>
        <w:t xml:space="preserve">, </w:t>
      </w:r>
      <w:r>
        <w:rPr>
          <w:i/>
        </w:rPr>
        <w:t>380</w:t>
      </w:r>
      <w:r>
        <w:t>(6650), 1108–1109.</w:t>
      </w:r>
    </w:p>
    <w:p>
      <w:r>
        <w:t>Ha, D. (n.d.). The AI Scientist: Towards fully automated open-ended scientific discovery.</w:t>
      </w:r>
    </w:p>
    <w:p>
      <w:r>
        <w:t>Hajishirzi, H. (2026). Synthesizing scientific literature with retrieval-augmented language models.</w:t>
      </w:r>
    </w:p>
    <w:p>
      <w:r>
        <w:t xml:space="preserve">Hannan, M. T., &amp; Freeman, J. (1977). The population ecology of organizations. </w:t>
      </w:r>
      <w:r>
        <w:rPr>
          <w:i/>
        </w:rPr>
        <w:t>American Journal of Sociology</w:t>
      </w:r>
      <w:r>
        <w:t xml:space="preserve">, </w:t>
      </w:r>
      <w:r>
        <w:rPr>
          <w:i/>
        </w:rPr>
        <w:t>82</w:t>
      </w:r>
      <w:r>
        <w:t>(5), 929–964.</w:t>
      </w:r>
    </w:p>
    <w:p>
      <w:r>
        <w:t>Hernandez, A. (2025). Reading children's moral dramas in anthropological fieldnotes: A human-AI hybrid approach.</w:t>
      </w:r>
    </w:p>
    <w:p>
      <w:r>
        <w:t xml:space="preserve">Hickman, L., Thapa, S., Tay, L., Cao, M., &amp; Srinivasan, P. (2022). Text preprocessing for text mining in organizational research: Review and recommendations. </w:t>
      </w:r>
      <w:r>
        <w:rPr>
          <w:i/>
        </w:rPr>
        <w:t>Organizational Research Methods</w:t>
      </w:r>
      <w:r>
        <w:t xml:space="preserve">, </w:t>
      </w:r>
      <w:r>
        <w:rPr>
          <w:i/>
        </w:rPr>
        <w:t>25</w:t>
      </w:r>
      <w:r>
        <w:t>(1), 114–146.</w:t>
      </w:r>
    </w:p>
    <w:p>
      <w:r>
        <w:t xml:space="preserve">Hruschka, D. J., Schwartz, D., St. John, D. C., Picone-Decaro, E., Jenkins, R. A., &amp; Carey, J. W. (2004). Reliability in coding open-ended data: Lessons learned from HIV behavioral research. </w:t>
      </w:r>
      <w:r>
        <w:rPr>
          <w:i/>
        </w:rPr>
        <w:t>Field Methods</w:t>
      </w:r>
      <w:r>
        <w:t xml:space="preserve">, </w:t>
      </w:r>
      <w:r>
        <w:rPr>
          <w:i/>
        </w:rPr>
        <w:t>16</w:t>
      </w:r>
      <w:r>
        <w:t>(3), 307–331.</w:t>
      </w:r>
    </w:p>
    <w:p>
      <w:r>
        <w:t xml:space="preserve">Ioannidis, J. P. A. (2005). Why most published research findings are false. </w:t>
      </w:r>
      <w:r>
        <w:rPr>
          <w:i/>
        </w:rPr>
        <w:t>PLoS Medicine</w:t>
      </w:r>
      <w:r>
        <w:t xml:space="preserve">, </w:t>
      </w:r>
      <w:r>
        <w:rPr>
          <w:i/>
        </w:rPr>
        <w:t>2</w:t>
      </w:r>
      <w:r>
        <w:t>(8), e124.</w:t>
      </w:r>
    </w:p>
    <w:p>
      <w:r>
        <w:t>Kang, J. (2025). REPRO-Bench: Can agentic AI systems assess the reproducibility of social science research?</w:t>
      </w:r>
    </w:p>
    <w:p>
      <w:r>
        <w:t>Keith, K. A. (2026). Codebook LLMs: Evaluating LLMs as measurement tools for political science concepts.</w:t>
      </w:r>
    </w:p>
    <w:p>
      <w:r>
        <w:t xml:space="preserve">King, G., Keohane, R. O., &amp; Verba, S. (1994). </w:t>
      </w:r>
      <w:r>
        <w:rPr>
          <w:i/>
        </w:rPr>
        <w:t>Designing social inquiry: Scientific inference in qualitative research</w:t>
      </w:r>
      <w:r>
        <w:t>. Princeton University Press.</w:t>
      </w:r>
    </w:p>
    <w:p>
      <w:r>
        <w:t xml:space="preserve">Krippendorff, K. (2011). Computing Krippendorff's alpha-reliability. </w:t>
      </w:r>
      <w:r>
        <w:rPr>
          <w:i/>
        </w:rPr>
        <w:t>Annenberg School for Communication Departmental Papers</w:t>
      </w:r>
      <w:r>
        <w:t>, University of Pennsylvania.</w:t>
      </w:r>
    </w:p>
    <w:p>
      <w:r>
        <w:t xml:space="preserve">Langley, A. (1999). Strategies for theorizing from process data. </w:t>
      </w:r>
      <w:r>
        <w:rPr>
          <w:i/>
        </w:rPr>
        <w:t>Academy of Management Review</w:t>
      </w:r>
      <w:r>
        <w:t xml:space="preserve">, </w:t>
      </w:r>
      <w:r>
        <w:rPr>
          <w:i/>
        </w:rPr>
        <w:t>24</w:t>
      </w:r>
      <w:r>
        <w:t>(4), 691–710.</w:t>
      </w:r>
    </w:p>
    <w:p>
      <w:r>
        <w:t>Larson, J. (2024). Synthetic replacements for human survey data? The perils of large language models.</w:t>
      </w:r>
    </w:p>
    <w:p>
      <w:r>
        <w:t xml:space="preserve">Lazer, D., et al. (2009). Computational social science. </w:t>
      </w:r>
      <w:r>
        <w:rPr>
          <w:i/>
        </w:rPr>
        <w:t>Science</w:t>
      </w:r>
      <w:r>
        <w:t xml:space="preserve">, </w:t>
      </w:r>
      <w:r>
        <w:rPr>
          <w:i/>
        </w:rPr>
        <w:t>323</w:t>
      </w:r>
      <w:r>
        <w:t>(5915), 721–723.</w:t>
      </w:r>
    </w:p>
    <w:p>
      <w:r>
        <w:t xml:space="preserve">Lazer, D., et al. (2020). Computational social science: Obstacles and opportunities. </w:t>
      </w:r>
      <w:r>
        <w:rPr>
          <w:i/>
        </w:rPr>
        <w:t>Science</w:t>
      </w:r>
      <w:r>
        <w:t xml:space="preserve">, </w:t>
      </w:r>
      <w:r>
        <w:rPr>
          <w:i/>
        </w:rPr>
        <w:t>369</w:t>
      </w:r>
      <w:r>
        <w:t>(6507), 1060–1062.</w:t>
      </w:r>
    </w:p>
    <w:p>
      <w:r>
        <w:t>Li, J. (n.d.). AgentSociety: Large-scale simulation of LLM-driven generative agents advances understanding of human behaviors and society.</w:t>
      </w:r>
    </w:p>
    <w:p>
      <w:r>
        <w:t xml:space="preserve">Liang, P., et al. (2022). Holistic evaluation of language models. </w:t>
      </w:r>
      <w:r>
        <w:rPr>
          <w:i/>
        </w:rPr>
        <w:t>arXiv:2211.09110</w:t>
      </w:r>
      <w:r>
        <w:t>.</w:t>
      </w:r>
    </w:p>
    <w:p>
      <w:r>
        <w:t xml:space="preserve">Lord, R. G., Foti, R. J., &amp; DeVader, C. L. (1984). A test of leadership categorization theory: Internal structure, information processing, and leadership perceptions. </w:t>
      </w:r>
      <w:r>
        <w:rPr>
          <w:i/>
        </w:rPr>
        <w:t>Organizational Behavior and Human Performance</w:t>
      </w:r>
      <w:r>
        <w:t xml:space="preserve">, </w:t>
      </w:r>
      <w:r>
        <w:rPr>
          <w:i/>
        </w:rPr>
        <w:t>34</w:t>
      </w:r>
      <w:r>
        <w:t>(3), 343–378.</w:t>
      </w:r>
    </w:p>
    <w:p>
      <w:r>
        <w:t xml:space="preserve">McHugh, M. L. (2012). Interrater reliability: The kappa statistic. </w:t>
      </w:r>
      <w:r>
        <w:rPr>
          <w:i/>
        </w:rPr>
        <w:t>Biochemia Medica</w:t>
      </w:r>
      <w:r>
        <w:t xml:space="preserve">, </w:t>
      </w:r>
      <w:r>
        <w:rPr>
          <w:i/>
        </w:rPr>
        <w:t>22</w:t>
      </w:r>
      <w:r>
        <w:t>(3), 276–282.</w:t>
      </w:r>
    </w:p>
    <w:p>
      <w:r>
        <w:t xml:space="preserve">Merton, R. K. (1957). The role-set: Problems in sociological theory. </w:t>
      </w:r>
      <w:r>
        <w:rPr>
          <w:i/>
        </w:rPr>
        <w:t>British Journal of Sociology</w:t>
      </w:r>
      <w:r>
        <w:t xml:space="preserve">, </w:t>
      </w:r>
      <w:r>
        <w:rPr>
          <w:i/>
        </w:rPr>
        <w:t>8</w:t>
      </w:r>
      <w:r>
        <w:t>(2), 106–120.</w:t>
      </w:r>
    </w:p>
    <w:p>
      <w:r>
        <w:t xml:space="preserve">Messick, S. (1995). Validity of psychological assessment: Validation of inferences from persons' responses and performances as scientific inquiry into score meaning. </w:t>
      </w:r>
      <w:r>
        <w:rPr>
          <w:i/>
        </w:rPr>
        <w:t>American Psychologist</w:t>
      </w:r>
      <w:r>
        <w:t xml:space="preserve">, </w:t>
      </w:r>
      <w:r>
        <w:rPr>
          <w:i/>
        </w:rPr>
        <w:t>50</w:t>
      </w:r>
      <w:r>
        <w:t>(9), 741–749.</w:t>
      </w:r>
    </w:p>
    <w:p>
      <w:r>
        <w:t xml:space="preserve">Nosek, B. A., et al. (2015). Promoting an open research culture. </w:t>
      </w:r>
      <w:r>
        <w:rPr>
          <w:i/>
        </w:rPr>
        <w:t>Science</w:t>
      </w:r>
      <w:r>
        <w:t xml:space="preserve">, </w:t>
      </w:r>
      <w:r>
        <w:rPr>
          <w:i/>
        </w:rPr>
        <w:t>348</w:t>
      </w:r>
      <w:r>
        <w:t>(6242), 1422–1425.</w:t>
      </w:r>
    </w:p>
    <w:p>
      <w:r>
        <w:t xml:space="preserve">Orlikowski, W. J. (2007). Sociomaterial practices: Exploring technology at work. </w:t>
      </w:r>
      <w:r>
        <w:rPr>
          <w:i/>
        </w:rPr>
        <w:t>Organization Studies</w:t>
      </w:r>
      <w:r>
        <w:t xml:space="preserve">, </w:t>
      </w:r>
      <w:r>
        <w:rPr>
          <w:i/>
        </w:rPr>
        <w:t>28</w:t>
      </w:r>
      <w:r>
        <w:t>(9), 1435–1448.</w:t>
      </w:r>
    </w:p>
    <w:p>
      <w:r>
        <w:t xml:space="preserve">Page, M. J., et al. (2021). The PRISMA 2020 statement: An updated guideline for reporting systematic reviews. </w:t>
      </w:r>
      <w:r>
        <w:rPr>
          <w:i/>
        </w:rPr>
        <w:t>BMJ</w:t>
      </w:r>
      <w:r>
        <w:t xml:space="preserve">, </w:t>
      </w:r>
      <w:r>
        <w:rPr>
          <w:i/>
        </w:rPr>
        <w:t>372</w:t>
      </w:r>
      <w:r>
        <w:t>, n71.</w:t>
      </w:r>
    </w:p>
    <w:p>
      <w:r>
        <w:t>Project APE. (n.d.). Project APE: Can policy evaluation be automated?</w:t>
      </w:r>
    </w:p>
    <w:p>
      <w:r>
        <w:t xml:space="preserve">Puranam, P. (2021). Human-AI collaborative decision-making as an organization design problem. </w:t>
      </w:r>
      <w:r>
        <w:rPr>
          <w:i/>
        </w:rPr>
        <w:t>Journal of Organization Design</w:t>
      </w:r>
      <w:r>
        <w:t xml:space="preserve">, </w:t>
      </w:r>
      <w:r>
        <w:rPr>
          <w:i/>
        </w:rPr>
        <w:t>10</w:t>
      </w:r>
      <w:r>
        <w:t>(2), 75–80.</w:t>
      </w:r>
    </w:p>
    <w:p>
      <w:r>
        <w:t xml:space="preserve">Puranam, P., Alexy, O., &amp; Reitzig, M. (2014). What's "new" about new forms of organizing? </w:t>
      </w:r>
      <w:r>
        <w:rPr>
          <w:i/>
        </w:rPr>
        <w:t>Academy of Management Review</w:t>
      </w:r>
      <w:r>
        <w:t xml:space="preserve">, </w:t>
      </w:r>
      <w:r>
        <w:rPr>
          <w:i/>
        </w:rPr>
        <w:t>39</w:t>
      </w:r>
      <w:r>
        <w:t>(2), 162–180.</w:t>
      </w:r>
    </w:p>
    <w:p>
      <w:r>
        <w:t xml:space="preserve">Ragin, C. C. (2008). </w:t>
      </w:r>
      <w:r>
        <w:rPr>
          <w:i/>
        </w:rPr>
        <w:t>Redesigning social inquiry: Fuzzy sets and beyond</w:t>
      </w:r>
      <w:r>
        <w:t>. University of Chicago Press.</w:t>
      </w:r>
    </w:p>
    <w:p>
      <w:r>
        <w:t xml:space="preserve">Raisch, S., &amp; Krakowski, S. (2021). Artificial intelligence and management: The automation-augmentation paradox. </w:t>
      </w:r>
      <w:r>
        <w:rPr>
          <w:i/>
        </w:rPr>
        <w:t>Academy of Management Review</w:t>
      </w:r>
      <w:r>
        <w:t xml:space="preserve">, </w:t>
      </w:r>
      <w:r>
        <w:rPr>
          <w:i/>
        </w:rPr>
        <w:t>46</w:t>
      </w:r>
      <w:r>
        <w:t>(1), 192–210.</w:t>
      </w:r>
    </w:p>
    <w:p>
      <w:r>
        <w:t xml:space="preserve">Ramarajan, L. (2014). Past, present and future research on multiple identities: Toward an intrapersonal network approach. </w:t>
      </w:r>
      <w:r>
        <w:rPr>
          <w:i/>
        </w:rPr>
        <w:t>Academy of Management Annals</w:t>
      </w:r>
      <w:r>
        <w:t xml:space="preserve">, </w:t>
      </w:r>
      <w:r>
        <w:rPr>
          <w:i/>
        </w:rPr>
        <w:t>8</w:t>
      </w:r>
      <w:r>
        <w:t>(1), 589–659.</w:t>
      </w:r>
    </w:p>
    <w:p>
      <w:r>
        <w:t xml:space="preserve">Siddaway, A. P., Wood, A. M., &amp; Hedges, L. V. (2019). How to do a systematic review: A best practice guide. </w:t>
      </w:r>
      <w:r>
        <w:rPr>
          <w:i/>
        </w:rPr>
        <w:t>Annual Review of Psychology</w:t>
      </w:r>
      <w:r>
        <w:t xml:space="preserve">, </w:t>
      </w:r>
      <w:r>
        <w:rPr>
          <w:i/>
        </w:rPr>
        <w:t>70</w:t>
      </w:r>
      <w:r>
        <w:t>, 747–770.</w:t>
      </w:r>
    </w:p>
    <w:p>
      <w:r>
        <w:t xml:space="preserve">Snyder, H. (2019). Literature review as a research methodology: An overview and guidelines. </w:t>
      </w:r>
      <w:r>
        <w:rPr>
          <w:i/>
        </w:rPr>
        <w:t>Journal of Business Research</w:t>
      </w:r>
      <w:r>
        <w:t xml:space="preserve">, </w:t>
      </w:r>
      <w:r>
        <w:rPr>
          <w:i/>
        </w:rPr>
        <w:t>104</w:t>
      </w:r>
      <w:r>
        <w:t>, 333–339.</w:t>
      </w:r>
    </w:p>
    <w:p>
      <w:r>
        <w:t xml:space="preserve">Stemler, S. (2001). An overview of content analysis. </w:t>
      </w:r>
      <w:r>
        <w:rPr>
          <w:i/>
        </w:rPr>
        <w:t>Practical Assessment, Research &amp; Evaluation</w:t>
      </w:r>
      <w:r>
        <w:t xml:space="preserve">, </w:t>
      </w:r>
      <w:r>
        <w:rPr>
          <w:i/>
        </w:rPr>
        <w:t>7</w:t>
      </w:r>
      <w:r>
        <w:t>(1), 17.</w:t>
      </w:r>
    </w:p>
    <w:p>
      <w:r>
        <w:t xml:space="preserve">Suchman, L. A. (2007). </w:t>
      </w:r>
      <w:r>
        <w:rPr>
          <w:i/>
        </w:rPr>
        <w:t>Human-machine reconfigurations: Plans and situated actions</w:t>
      </w:r>
      <w:r>
        <w:t xml:space="preserve"> (2nd ed.). Cambridge University Press.</w:t>
      </w:r>
    </w:p>
    <w:p>
      <w:r>
        <w:t xml:space="preserve">Tranfield, D., Denyer, D., &amp; Smart, P. (2003). Towards a methodology for developing evidence-informed management knowledge by means of systematic review. </w:t>
      </w:r>
      <w:r>
        <w:rPr>
          <w:i/>
        </w:rPr>
        <w:t>British Journal of Management</w:t>
      </w:r>
      <w:r>
        <w:t xml:space="preserve">, </w:t>
      </w:r>
      <w:r>
        <w:rPr>
          <w:i/>
        </w:rPr>
        <w:t>14</w:t>
      </w:r>
      <w:r>
        <w:t>(3), 207–222.</w:t>
      </w:r>
    </w:p>
    <w:p>
      <w:r>
        <w:t xml:space="preserve">Törnberg, P. (2023). How to use LLMs for text analysis. </w:t>
      </w:r>
      <w:r>
        <w:rPr>
          <w:i/>
        </w:rPr>
        <w:t>arXiv:2307.13106</w:t>
      </w:r>
      <w:r>
        <w:t>.</w:t>
      </w:r>
    </w:p>
    <w:p>
      <w:r>
        <w:t>Törnberg, P. (2025). Large language models outperform expert coders and supervised classifiers at annotating political social media messages.</w:t>
      </w:r>
    </w:p>
    <w:p>
      <w:r>
        <w:t xml:space="preserve">Vandenberg, R. J., &amp; Lance, C. E. (2000). A review and synthesis of the measurement invariance literature: Suggestions, practices, and recommendations for organizational research. </w:t>
      </w:r>
      <w:r>
        <w:rPr>
          <w:i/>
        </w:rPr>
        <w:t>Organizational Research Methods</w:t>
      </w:r>
      <w:r>
        <w:t xml:space="preserve">, </w:t>
      </w:r>
      <w:r>
        <w:rPr>
          <w:i/>
        </w:rPr>
        <w:t>3</w:t>
      </w:r>
      <w:r>
        <w:t>(1), 4–70.</w:t>
      </w:r>
    </w:p>
    <w:p>
      <w:r>
        <w:t xml:space="preserve">Weick, K. E., &amp; Sutcliffe, K. M. (2007). </w:t>
      </w:r>
      <w:r>
        <w:rPr>
          <w:i/>
        </w:rPr>
        <w:t>Managing the unexpected: Resilient performance in an age of uncertainty</w:t>
      </w:r>
      <w:r>
        <w:t xml:space="preserve"> (2nd ed.). Jossey-Bass.</w:t>
      </w:r>
    </w:p>
    <w:p>
      <w:r>
        <w:t xml:space="preserve">Weidinger, L., et al. (2021). Ethical and social risks of harm from language models. </w:t>
      </w:r>
      <w:r>
        <w:rPr>
          <w:i/>
        </w:rPr>
        <w:t>arXiv:2112.04359</w:t>
      </w:r>
      <w:r>
        <w:t>.</w:t>
      </w:r>
    </w:p>
    <w:p>
      <w:r>
        <w:t xml:space="preserve">Welch, C., Piekkari, R., Plakoyiannaki, E., &amp; Paavilainen-Mäntymäki, E. (2011). Theorising from case studies: Towards a pluralist future for international business research. </w:t>
      </w:r>
      <w:r>
        <w:rPr>
          <w:i/>
        </w:rPr>
        <w:t>Journal of International Business Studies</w:t>
      </w:r>
      <w:r>
        <w:t xml:space="preserve">, </w:t>
      </w:r>
      <w:r>
        <w:rPr>
          <w:i/>
        </w:rPr>
        <w:t>42</w:t>
      </w:r>
      <w:r>
        <w:t>(5), 740–762.</w:t>
      </w:r>
    </w:p>
    <w:p>
      <w:r>
        <w:t xml:space="preserve">Whetten, D. A. (1989). What constitutes a theoretical contribution? </w:t>
      </w:r>
      <w:r>
        <w:rPr>
          <w:i/>
        </w:rPr>
        <w:t>Academy of Management Review</w:t>
      </w:r>
      <w:r>
        <w:t xml:space="preserve">, </w:t>
      </w:r>
      <w:r>
        <w:rPr>
          <w:i/>
        </w:rPr>
        <w:t>14</w:t>
      </w:r>
      <w:r>
        <w:t>(4), 490–495.</w:t>
      </w:r>
    </w:p>
    <w:p>
      <w:r>
        <w:t xml:space="preserve">Williams, L. J., Hartman, N., &amp; Cavazotte, F. (2010). Method variance and marker variables: A review and comprehensive CFA marker technique. </w:t>
      </w:r>
      <w:r>
        <w:rPr>
          <w:i/>
        </w:rPr>
        <w:t>Organizational Research Methods</w:t>
      </w:r>
      <w:r>
        <w:t xml:space="preserve">, </w:t>
      </w:r>
      <w:r>
        <w:rPr>
          <w:i/>
        </w:rPr>
        <w:t>13</w:t>
      </w:r>
      <w:r>
        <w:t>(3), 477–514.</w:t>
      </w:r>
    </w:p>
    <w:p>
      <w:r>
        <w:t xml:space="preserve">Woolley, A. W., Chabris, C. F., Pentland, A., Hashmi, N., &amp; Malone, T. W. (2010). Evidence for a collective intelligence factor in the performance of human groups. </w:t>
      </w:r>
      <w:r>
        <w:rPr>
          <w:i/>
        </w:rPr>
        <w:t>Science</w:t>
      </w:r>
      <w:r>
        <w:t xml:space="preserve">, </w:t>
      </w:r>
      <w:r>
        <w:rPr>
          <w:i/>
        </w:rPr>
        <w:t>330</w:t>
      </w:r>
      <w:r>
        <w:t>(6004), 686–688.</w:t>
      </w:r>
    </w:p>
    <w:p>
      <w:r>
        <w:t>Xiao, X. (n.d.). Nonstandard errors in AI agents.</w:t>
      </w:r>
    </w:p>
    <w:p>
      <w:r>
        <w:t>Yin, S. (n.d.). Scientific production in the era of large language models.</w:t>
      </w:r>
    </w:p>
    <w:p>
      <w:r>
        <w:t xml:space="preserve">Ziems, C., Held, W., Shaikh, O., Chen, J., Zhang, Z., &amp; Yang, D. (2024). Can large language models transform computational social science? </w:t>
      </w:r>
      <w:r>
        <w:rPr>
          <w:i/>
        </w:rPr>
        <w:t>Computational Linguistics</w:t>
      </w:r>
      <w:r>
        <w:t xml:space="preserve">, </w:t>
      </w:r>
      <w:r>
        <w:rPr>
          <w:i/>
        </w:rPr>
        <w:t>50</w:t>
      </w:r>
      <w:r>
        <w:t>(1), 237–291.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