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Reliability is reported as a v1.0 baseline (§6.2); v1.1 instruments — a case-family DIF and latent-class-invariance test, a fully-blind human second-coder pass with cross-coder DIF on the six-status responses, and a within-case transition-coding extension —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Table 1 lists the eight starting roles alongside the six split-candidate roles produced by the v0.2 split decompositions: </w:t>
      </w:r>
      <w:r>
        <w:rPr>
          <w:i/>
        </w:rPr>
        <w:t>construct and perspective boundary setter</w:t>
      </w:r>
      <w:r>
        <w:t xml:space="preserve"> decomposes into </w:t>
      </w:r>
      <w:r>
        <w:rPr>
          <w:i/>
        </w:rPr>
        <w:t>construct boundary setter</w:t>
      </w:r>
      <w:r>
        <w:t xml:space="preserve"> and </w:t>
      </w:r>
      <w:r>
        <w:rPr>
          <w:i/>
        </w:rPr>
        <w:t>perspective sampler</w:t>
      </w:r>
      <w:r>
        <w:t xml:space="preserve"> (Case 3 trigger; §3.1), </w:t>
      </w:r>
      <w:r>
        <w:rPr>
          <w:i/>
        </w:rPr>
        <w:t>counterfactual and transportability judge</w:t>
      </w:r>
      <w:r>
        <w:t xml:space="preserve"> decomposes into </w:t>
      </w:r>
      <w:r>
        <w:rPr>
          <w:i/>
        </w:rPr>
        <w:t>counterfactual / transportability judge</w:t>
      </w:r>
      <w:r>
        <w:t xml:space="preserve"> and </w:t>
      </w:r>
      <w:r>
        <w:rPr>
          <w:i/>
        </w:rPr>
        <w:t>calibration architect</w:t>
      </w:r>
      <w:r>
        <w:t xml:space="preserve">, and </w:t>
      </w:r>
      <w:r>
        <w:rPr>
          <w:i/>
        </w:rPr>
        <w:t>situated interlocutor / context witness</w:t>
      </w:r>
      <w:r>
        <w:t xml:space="preserve"> decomposes into </w:t>
      </w:r>
      <w:r>
        <w:rPr>
          <w:i/>
        </w:rPr>
        <w:t>situated interlocutor</w:t>
      </w:r>
      <w:r>
        <w:t xml:space="preserve"> and </w:t>
      </w:r>
      <w:r>
        <w:rPr>
          <w:i/>
        </w:rPr>
        <w:t>context witness</w:t>
      </w:r>
      <w:r>
        <w:t xml:space="preserve">; the apparent near-duplicates are instrument-level decompositions of starting roles, not coding redundancies.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within-case extension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 The cell-level Monte-Carlo </w:t>
      </w:r>
      <w:r>
        <w:rPr>
          <w:i/>
        </w:rPr>
        <w:t>p</w:t>
      </w:r>
      <w:r>
        <w:t xml:space="preserve"> = 0.0002 supports this configurational reading; the clustering-aware case-level </w:t>
      </w:r>
      <w:r>
        <w:rPr>
          <w:i/>
        </w:rPr>
        <w:t>p</w:t>
      </w:r>
      <w:r>
        <w:t xml:space="preserve"> = 0.58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40 shrinking codings concentrated entirely in three throughput-task roles — routine first-pass screener (13 cases), routine coder on high-consensus ground-truth-rich tasks (15 cases), and structural prose polisher (12 cases); the procedural-validity roles of §3 (protocol-and-provenance architect, calibration architect, accountability-and-labor allocator) carry zero shrinking codings, the asymmetry §3 turns on. The shrinking codings appear across 24 of 36 cases — 12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rPr>
          <w:i/>
        </w:rPr>
        <w:t>Institutional reframing.</w:t>
      </w:r>
      <w:r>
        <w:t xml:space="preserve"> The procedural-validity triple's durability admits an institutional reading (Meyer &amp; Rowan, 1977; DiMaggio &amp; Powell, 1983; Eyal, 2013) under which protocol-and-provenance, calibration, and accountability are durable not because they discharge a substantive inference-licensing function but because methods-journal review, IRB structures, and reviewer expectations exert isomorphic pressure on AI-in-research workflows to </w:t>
      </w:r>
      <w:r>
        <w:rPr>
          <w:i/>
        </w:rPr>
        <w:t>display</w:t>
      </w:r>
      <w:r>
        <w:t xml:space="preserve"> these roles in human form. Eyal's (2013) treatment of expertise (rather than the profession) as the unit of jurisdictional change parallels the rescaling we adopt at §1, so the institutional reading is not orthogonal to the substantive reading — it is the alternative motivation for the same observed pattern. The v1.1 case-family DIF instrument is the appropriate test: legitimacy-driven adoption should produce within-family clustering of procedural-role anchors that the substantive reading does not predict.</w:t>
      </w:r>
    </w:p>
    <w:p>
      <w:r>
        <w:rPr>
          <w:i/>
        </w:rPr>
        <w:t>Evolutionary selection.</w:t>
      </w:r>
      <w:r>
        <w:t xml:space="preserve"> The durable-roles signature also admits an evolutionary-selection reading (Aldrich &amp; Ruef, 2006; Hannan &amp; Freeman, 1977) under which the 12-of-36 triple-durable lift is not evidence about the underlying population of attempted AI-in-research workflows but about the surviving subset: workflows that fail to maintain procedural-validity roles in human form are differentially less likely to clear methods-journal review and reach the published-or-preprinted population the audit samples. The visibility filter named in §2.1 is the channel of that selection. Under this reading the population-level role-system claim is empirically open; the 2027 hold-out and a parallel preprint-only sample are the appropriate selection-correction instruments.</w:t>
      </w:r>
    </w:p>
    <w:p>
      <w:r>
        <w:rPr>
          <w:i/>
        </w:rPr>
        <w:t>Co-constitution scope condition.</w:t>
      </w:r>
      <w:r>
        <w:t xml:space="preserve"> A practice-theoretic reading (Faraj &amp; Pachidi, 2021; Orlikowski, 2007; Suchman, 2007) presses that for the autonomy-heavy boundary cases (25, 26, 32, 33, 34; §5), the role-system and the agentic pipeline are mutually constituted rather than separable, so the rubric's snapshot decomposition codes a moment in ongoing co-evolution rather than a stable allocation. §2.4 declares the ostensive-only scope condition that bounds the rubric to author-stated patterns rather than performative enactment, and §5 engages the rival reading at the case level. Here we name it as the third explicit scope-rival to the headline pattern: the v1.1 within-case transition-coding extension — coding two snapshots per case to recover the transition direction the v1.0 single-snapshot rubric cannot observe — is the appropriate instrument for adjudicating co-constitution against separability on the affected cases.</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Beyond these tie-breaker refinements — which discharge the OSF pre-analysis plan's pre-committed remedy for per-status κ below threshold — the manuscript additionally pre-commits three v1.1 instruments on the six-status responses: (i) a case-family DIF and latent-class-invariance test; (ii) a fully-blind human second-coder pass with cross-coder DIF (≥50 cases per family); and (iii) a within-case transition-coding extension targeting the </w:t>
      </w:r>
      <w:r>
        <w:rPr>
          <w:i/>
        </w:rPr>
        <w:t>conditional</w:t>
      </w:r>
      <w:r>
        <w:t xml:space="preserve"> and </w:t>
      </w:r>
      <w:r>
        <w:rPr>
          <w:i/>
        </w:rPr>
        <w:t>transformed</w:t>
      </w:r>
      <w:r>
        <w:t xml:space="preserve"> anchors. The same three-instrument set is referenced in the abstract.</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A confidence-stratified robustness check restricting to the 204 high-confidence role-coding rows (excluding medium- and low-confidence codings) yields </w:t>
      </w:r>
      <w:r>
        <w:rPr>
          <w:i/>
        </w:rPr>
        <w:t>V</w:t>
      </w:r>
      <w:r>
        <w:t>_family = 0.267, within rounding of the headline 0.260 on all 612 cells; the cross-lens direction (family &gt; capability) is preserved on the high-confidence subsample, so the H3 cell-level association is not an artifact of low-confidence rows.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36 cases can license under the clustering-aware null, and the 2027 hold-out at </w:t>
      </w:r>
      <w:r>
        <w:rPr>
          <w:i/>
        </w:rPr>
        <w:t>N</w:t>
      </w:r>
      <w:r>
        <w:t xml:space="preserve"> = 60 is the appropriate test of the case-level ceiling.</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and F (reviewer-audit checklist), all under CC-BY-4.0; Appendix A — the released codebook itself — is held as a versioned artifact at the release tag rather than reproduced inside this manuscript.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DiMaggio, P. J., &amp; Powell, W. W. (1983). The iron cage revisited: Institutional isomorphism and collective rationality in organizational fields. </w:t>
      </w:r>
      <w:r>
        <w:rPr>
          <w:i/>
        </w:rPr>
        <w:t>American Sociological Review</w:t>
      </w:r>
      <w:r>
        <w:t xml:space="preserve">, </w:t>
      </w:r>
      <w:r>
        <w:rPr>
          <w:i/>
        </w:rPr>
        <w:t>48</w:t>
      </w:r>
      <w:r>
        <w:t>(2), 147–160.</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Meyer, J. W., &amp; Rowan, B. (1977). Institutionalized organizations: Formal structure as myth and ceremony. </w:t>
      </w:r>
      <w:r>
        <w:rPr>
          <w:i/>
        </w:rPr>
        <w:t>American Journal of Sociology</w:t>
      </w:r>
      <w:r>
        <w:t xml:space="preserve">, </w:t>
      </w:r>
      <w:r>
        <w:rPr>
          <w:i/>
        </w:rPr>
        <w:t>83</w:t>
      </w:r>
      <w:r>
        <w:t>(2), 340–363.</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