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one case (a proposed pedagogical configuration whose codings are design-time projections) is held back from the v1.0 inferential base, leaving 35 cases and 595 codings for the headline analysis.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and report the resulting pattern: three procedural-validity roles (protocol-and-provenance architect, calibration architect, accountability-and-labor allocator) co-occur as a </w:t>
      </w:r>
      <w:r>
        <w:rPr>
          <w:i/>
        </w:rPr>
        <w:t>durable</w:t>
      </w:r>
      <w:r>
        <w:t xml:space="preserve"> configuration in 12 of 35 cases, 1.44× the count expected under marginal independence — the candidate </w:t>
      </w:r>
      <w:r>
        <w:rPr>
          <w:i/>
        </w:rPr>
        <w:t>epistemic-guardian</w:t>
      </w:r>
      <w:r>
        <w:t xml:space="preserve"> signature; three throughput clusters shrink in 38 observations (routine first-pass screening, high-consensus coding on ground-truth-rich tasks, structural prose polishing). H3 is supported as a cell-level association (Monte-Carlo </w:t>
      </w:r>
      <w:r>
        <w:rPr>
          <w:i/>
        </w:rPr>
        <w:t>p</w:t>
      </w:r>
      <w:r>
        <w:t xml:space="preserve"> = 0.0001) and on the Wilcoxon signed-rank (</w:t>
      </w:r>
      <w:r>
        <w:rPr>
          <w:i/>
        </w:rPr>
        <w:t>p</w:t>
      </w:r>
      <w:r>
        <w:t xml:space="preserve"> = 0.011) but does not reach significance on the pre-committed two-sided sign test (12 of 16 positive role-pairs; </w:t>
      </w:r>
      <w:r>
        <w:rPr>
          <w:i/>
        </w:rPr>
        <w:t>p</w:t>
      </w:r>
      <w:r>
        <w:t xml:space="preserve"> = 0.077) or under the clustering-aware case-level null at </w:t>
      </w:r>
      <w:r>
        <w:rPr>
          <w:i/>
        </w:rPr>
        <w:t>N</w:t>
      </w:r>
      <w:r>
        <w:t xml:space="preserve"> = 35 (</w:t>
      </w:r>
      <w:r>
        <w:rPr>
          <w:i/>
        </w:rPr>
        <w:t>p</w:t>
      </w:r>
      <w:r>
        <w:t xml:space="preserve"> = 0.34). Reliability is reported as a v1.0 baseline (§6.2); the v1.1 redesign — pre-registered at OSF before any v1.1 coding — adopts a deductively borrowed AI-work-design taxonomy (Brynjolfsson &amp; Mitchell, 2017; Daugherty &amp; Wilson, 2018) extended with one inductive operation derived during a 4-case calibration pilot, two-coder blind coding calibrated to κ ≥ 0.70 before main coding, latent-class-invariance and case-family DIF tests, a configurational (QCA) sufficient-condition cross-check, and a 2027 hold-out at </w:t>
      </w:r>
      <w:r>
        <w:rPr>
          <w:i/>
        </w:rPr>
        <w:t>N</w:t>
      </w:r>
      <w:r>
        <w:t xml:space="preserve"> = 60.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qualify for the v1.0 inferential base under three criteria, in the systematic-review tradition of explicit inclusion rules and reporting (Page et al., 2021; Tranfield et al., 2003; Siddaway et al., 2019). </w:t>
      </w:r>
      <w:r>
        <w:rPr>
          <w:b/>
        </w:rPr>
        <w:t>(C1) Scope.</w:t>
      </w:r>
      <w:r>
        <w:t xml:space="preserve"> Each case is published or preprinted 2023–2026 (post-LLM-saturation) and has AI embedded in a methodological step of a research workflow — measurement, screening, interpretation, synthesis, reproducibility, authorship, or autonomous pipeline; cases that treat AI as a tested object (LLM-benchmark studies), as an incidental writing aid alone, or as an off-research application are out of scope. </w:t>
      </w:r>
      <w:r>
        <w:rPr>
          <w:b/>
        </w:rPr>
        <w:t>(C2) Evidentiary base.</w:t>
      </w:r>
      <w:r>
        <w:t xml:space="preserve"> The case file contains quotable sentences for at least three role-cell anchors, and the primary source is at peer-reviewed, preprint, conference, or canonical-public-project stratum; proposed-design configurations whose codings are design-time projections of an executed study are admitted only as v1.1 hold-out, not into the v1.0 base. </w:t>
      </w:r>
      <w:r>
        <w:rPr>
          <w:b/>
        </w:rPr>
        <w:t>(C3) Analytical-framing distinctness.</w:t>
      </w:r>
      <w:r>
        <w:t xml:space="preserve"> When two cases share a primary source, they must produce materially disjoint role-cell coverage (operationalized as ≥30% disjoint populated-cell sets) and be coded independently, so a single source paper can anchor two analytically distinct framings without collapsing into a duplicate report. The 36-case registry is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w:t>
      </w:r>
    </w:p>
    <w:p>
      <w:r>
        <w:t xml:space="preserve">The seed pool was assembled from targeted searches of methodological venues plus forward and backward citation from four anchor papers (Törnberg, 2025; Keith, 2026; Larson, 2024; Kang, 2025), supplemented with preprint-server queries for autonomy-heavy systems not yet peer-reviewed. The 36 cases partition under C1–C3 as follows. Thirty-three cases pass all three criteria cleanly. Two cases (11 and 12) pass with a disclosed C3 exception: both draw on Qian and Wen (2026) [arxiv 2601.15485] but code analytically distinct aspects (ideation step vs. downstream funding-evaluation pipeline) with materially different role-cell coverage (4 vs. 9 populated cells), and were coded independently. One case (36) is a proposed pedagogical configuration that uses Chen and Hu (2025) [arxiv 2504.01167] as a methodological precedent — under C2's design-time-projection carve-out, Case 36 is held back from the v1.0 base and pre-registered as a v1.1 hold-out entry. The v1.0 inferential base is therefore 35 cases (595 codings); the released </w:t>
      </w:r>
      <w:r>
        <w:rPr>
          <w:rFonts w:ascii="Consolas" w:hAnsi="Consolas"/>
          <w:sz w:val="21"/>
        </w:rPr>
        <w:t>exclusions_and_limits.csv</w:t>
      </w:r>
      <w:r>
        <w:t xml:space="preserve"> records the v1.1 carve-out and the dropped-case list explicitly.</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35 cases × 17 roles in the v1.0' inferential base,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Table 1 lists the eight starting roles alongside the six split-candidate roles produced by the v0.2 split decompositions: </w:t>
      </w:r>
      <w:r>
        <w:rPr>
          <w:i/>
        </w:rPr>
        <w:t>construct and perspective boundary setter</w:t>
      </w:r>
      <w:r>
        <w:t xml:space="preserve"> decomposes into </w:t>
      </w:r>
      <w:r>
        <w:rPr>
          <w:i/>
        </w:rPr>
        <w:t>construct boundary setter</w:t>
      </w:r>
      <w:r>
        <w:t xml:space="preserve"> and </w:t>
      </w:r>
      <w:r>
        <w:rPr>
          <w:i/>
        </w:rPr>
        <w:t>perspective sampler</w:t>
      </w:r>
      <w:r>
        <w:t xml:space="preserve"> (Case 3 trigger; §3.1), </w:t>
      </w:r>
      <w:r>
        <w:rPr>
          <w:i/>
        </w:rPr>
        <w:t>counterfactual and transportability judge</w:t>
      </w:r>
      <w:r>
        <w:t xml:space="preserve"> decomposes into </w:t>
      </w:r>
      <w:r>
        <w:rPr>
          <w:i/>
        </w:rPr>
        <w:t>counterfactual / transportability judge</w:t>
      </w:r>
      <w:r>
        <w:t xml:space="preserve"> and </w:t>
      </w:r>
      <w:r>
        <w:rPr>
          <w:i/>
        </w:rPr>
        <w:t>calibration architect</w:t>
      </w:r>
      <w:r>
        <w:t xml:space="preserve">, and </w:t>
      </w:r>
      <w:r>
        <w:rPr>
          <w:i/>
        </w:rPr>
        <w:t>situated interlocutor / context witness</w:t>
      </w:r>
      <w:r>
        <w:t xml:space="preserve"> decomposes into </w:t>
      </w:r>
      <w:r>
        <w:rPr>
          <w:i/>
        </w:rPr>
        <w:t>situated interlocutor</w:t>
      </w:r>
      <w:r>
        <w:t xml:space="preserve"> and </w:t>
      </w:r>
      <w:r>
        <w:rPr>
          <w:i/>
        </w:rPr>
        <w:t>context witness</w:t>
      </w:r>
      <w:r>
        <w:t xml:space="preserve">; the apparent near-duplicates are instrument-level decompositions of starting roles, not coding redundancies.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redesign — pre-coding calibration to κ ≥ 0.70 plus latent-class-invariance and DIF testing —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35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0.771, 0.514, and 0.600 across the 35 cases; under marginal independence the expected count of all-three-durable cases is 8.33, and the observed 12 is 1.44×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12-of-35 lift survives even when the individual transition-coded anchors do not. The cell-level Monte-Carlo </w:t>
      </w:r>
      <w:r>
        <w:rPr>
          <w:i/>
        </w:rPr>
        <w:t>p</w:t>
      </w:r>
      <w:r>
        <w:t xml:space="preserve"> = 0.0001 supports this configurational reading; the clustering-aware case-level </w:t>
      </w:r>
      <w:r>
        <w:rPr>
          <w:i/>
        </w:rPr>
        <w:t>p</w:t>
      </w:r>
      <w:r>
        <w:t xml:space="preserve"> = 0.34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redesign — borrowed-taxonomy coding to κ ≥ 0.70, three-lens analysis triangulation, and the 2027 hold-out at </w:t>
      </w:r>
      <w:r>
        <w:rPr>
          <w:i/>
        </w:rPr>
        <w:t>N</w:t>
      </w:r>
      <w:r>
        <w:t xml:space="preserve"> = 60.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38 shrinking codings concentrated entirely in three throughput-task roles — routine first-pass screener (12 cases), routine coder on high-consensus ground-truth-rich tasks (14 cases), and structural prose polisher (12 cases); the procedural-validity roles of §3 (protocol-and-provenance architect, calibration architect, accountability-and-labor allocator) carry zero shrinking codings, the asymmetry §3 turns on. The shrinking codings appear across 24 of 35 cases — 11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rPr>
          <w:i/>
        </w:rPr>
        <w:t>Institutional reframing.</w:t>
      </w:r>
      <w:r>
        <w:t xml:space="preserve"> The procedural-validity triple's durability admits an institutional reading (Meyer &amp; Rowan, 1977; DiMaggio &amp; Powell, 1983; Eyal, 2013) under which protocol-and-provenance, calibration, and accountability are durable not because they discharge a substantive inference-licensing function but because methods-journal review, IRB structures, and reviewer expectations exert isomorphic pressure on AI-in-research workflows to </w:t>
      </w:r>
      <w:r>
        <w:rPr>
          <w:i/>
        </w:rPr>
        <w:t>display</w:t>
      </w:r>
      <w:r>
        <w:t xml:space="preserve"> these roles in human form. Eyal's (2013) treatment of expertise (rather than the profession) as the unit of jurisdictional change parallels the rescaling we adopt at §1, so the institutional reading is not orthogonal to the substantive reading — it is the alternative motivation for the same observed pattern. The v1.1 case-family DIF instrument is the appropriate test: legitimacy-driven adoption should produce within-family clustering of procedural-role anchors that the substantive reading does not predict.</w:t>
      </w:r>
    </w:p>
    <w:p>
      <w:r>
        <w:rPr>
          <w:i/>
        </w:rPr>
        <w:t>Evolutionary selection.</w:t>
      </w:r>
      <w:r>
        <w:t xml:space="preserve"> The durable-roles signature also admits an evolutionary-selection reading (Aldrich &amp; Ruef, 2006; Hannan &amp; Freeman, 1977) under which the 12-of-36 triple-durable lift is not evidence about the underlying population of attempted AI-in-research workflows but about the surviving subset: workflows that fail to maintain procedural-validity roles in human form are differentially less likely to clear methods-journal review and reach the published-or-preprinted population the audit samples. The visibility filter named in §2.1 is the channel of that selection. Under this reading the population-level role-system claim is empirically open; the 2027 hold-out and a parallel preprint-only sample are the appropriate selection-correction instruments.</w:t>
      </w:r>
    </w:p>
    <w:p>
      <w:r>
        <w:rPr>
          <w:i/>
        </w:rPr>
        <w:t>Co-constitution scope condition.</w:t>
      </w:r>
      <w:r>
        <w:t xml:space="preserve"> A practice-theoretic reading (Faraj &amp; Pachidi, 2021; Orlikowski, 2007; Suchman, 2007) presses that for the autonomy-heavy boundary cases (25, 26, 32, 33, 34; §5), the role-system and the agentic pipeline are mutually constituted rather than separable, so the rubric's snapshot decomposition codes a moment in ongoing co-evolution rather than a stable allocation. §2.4 declares the ostensive-only scope condition that bounds the rubric to author-stated patterns rather than performative enactment, and §5 engages the rival reading at the case level. Here we name it as the third explicit scope-rival to the headline pattern: the v1.1 within-case transition-coding extension — coding two snapshots per case to recover the transition direction the v1.0 single-snapshot rubric cannot observe — is the appropriate instrument for adjudicating co-constitution against separability on the affected cases.</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(86 of 595 rows in the v1.0' base) — reassigning all 86 to </w:t>
      </w:r>
      <w:r>
        <w:rPr>
          <w:i/>
        </w:rPr>
        <w:t>robust</w:t>
      </w:r>
      <w:r>
        <w:t xml:space="preserve"> (extreme A) or to </w:t>
      </w:r>
      <w:r>
        <w:rPr>
          <w:i/>
        </w:rPr>
        <w:t>transformed</w:t>
      </w:r>
      <w:r>
        <w:t xml:space="preserve"> (extreme B) — preserves the directional H3 verdict under either prior; specific p-values were computed on the prior v1.0 base (sign-test 0.004 / 0.021) and recomputation on v1.0' is a v1.1 robustness commitment alongside the configural-invariance test. Beyond these tie-breaker refinements — which discharge the OSF pre-analysis plan's pre-committed remedy for per-status κ below threshold — the manuscript pre-commits a v1.1 redesign that addresses the v1.0 reliability shortfall at the source rather than after the fact. (i) </w:t>
      </w:r>
      <w:r>
        <w:rPr>
          <w:b/>
        </w:rPr>
        <w:t>Coding scheme.</w:t>
      </w:r>
      <w:r>
        <w:t xml:space="preserve"> A peer-reviewed AI-work-design taxonomy (Brynjolfsson &amp; Mitchell, 2017; Daugherty &amp; Wilson, 2018) serves as the deductive anchor in place of the automation-augmentation paradox-only anchor of v1.0; one inductive specification operation derived during a 4-case calibration pilot is added if and only if the pilot surfaces a pattern the borrowed taxonomy cannot accommodate. (ii) </w:t>
      </w:r>
      <w:r>
        <w:rPr>
          <w:b/>
        </w:rPr>
        <w:t>Two-coder calibration.</w:t>
      </w:r>
      <w:r>
        <w:t xml:space="preserve"> Two coders code the calibration pilot independently; the instrument is locked only after pooled κ ≥ 0.70 is reached. The κ ≥ 0.60 v1.0 threshold is raised to κ ≥ 0.70 because the v1.0 κ failure was diagnostic of insufficient pre-coding calibration rather than of an unmeasurable construct. (iii) </w:t>
      </w:r>
      <w:r>
        <w:rPr>
          <w:b/>
        </w:rPr>
        <w:t>External instrument review.</w:t>
      </w:r>
      <w:r>
        <w:t xml:space="preserve"> A 3-person expert panel of ORM-published methods scholars reviews the locked instrument before main coding (lightweight Delphi), with their feedback released alongside the locked codebook. (iv) </w:t>
      </w:r>
      <w:r>
        <w:rPr>
          <w:b/>
        </w:rPr>
        <w:t>Triangulated analysis.</w:t>
      </w:r>
      <w:r>
        <w:t xml:space="preserve"> The cell-level χ² / Cramér's V / Monte-Carlo structure is preserved; latent-class analysis is added to derive empirical structure (testing whether the borrowed taxonomy holds against the data); QCA (Ragin, 2008; Fiss, 2011) is added as a configurational sufficient-condition cross-check. The H3 verdict is supported only if all three lenses converge in direction. (v) </w:t>
      </w:r>
      <w:r>
        <w:rPr>
          <w:b/>
        </w:rPr>
        <w:t>Hold-out.</w:t>
      </w:r>
      <w:r>
        <w:t xml:space="preserve"> The 2027 hold-out at </w:t>
      </w:r>
      <w:r>
        <w:rPr>
          <w:i/>
        </w:rPr>
        <w:t>N</w:t>
      </w:r>
      <w:r>
        <w:t xml:space="preserve"> = 60 is the case-level confirmatory test the v1.0' base does not have power for. (vi) </w:t>
      </w:r>
      <w:r>
        <w:rPr>
          <w:b/>
        </w:rPr>
        <w:t>Pre-registration.</w:t>
      </w:r>
      <w:r>
        <w:t xml:space="preserve"> The full v1.1 design is OSF-timestamped before any v1.1 coding pass, fixing the "OSF-ready but not OSF-timestamped" concession the v1.0 disclosure carries.</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31 cases yields 11 positive differences out of 15 defined roles (one role drops because its </w:t>
      </w:r>
      <w:r>
        <w:rPr>
          <w:i/>
        </w:rPr>
        <w:t>V</w:t>
      </w:r>
      <w:r>
        <w:t xml:space="preserve"> is undefined on the 31-case subset; two-sided binomial </w:t>
      </w:r>
      <w:r>
        <w:rPr>
          <w:i/>
        </w:rPr>
        <w:t>p</w:t>
      </w:r>
      <w:r>
        <w:t xml:space="preserve"> = 0.118), </w:t>
      </w:r>
      <w:r>
        <w:rPr>
          <w:i/>
        </w:rPr>
        <w:t>V</w:t>
      </w:r>
      <w:r>
        <w:t xml:space="preserve">_family = 0.279, </w:t>
      </w:r>
      <w:r>
        <w:rPr>
          <w:i/>
        </w:rPr>
        <w:t>V</w:t>
      </w:r>
      <w:r>
        <w:t xml:space="preserve">_capability = 0.209, and </w:t>
      </w:r>
      <w:r>
        <w:rPr>
          <w:i/>
        </w:rPr>
        <w:t>V</w:t>
      </w:r>
      <w:r>
        <w:t xml:space="preserve"> gap = +0.070 — direction consistent with the full v1.0' sample, but the sign-test on the smaller subsample falls further from significance, mirroring the pattern §6.4 reports. The pilot cases contribute to specific role counts (e.g., removing Törnberg drops the routine-coder shrinking count from 15 to 13) but the directional H3 pattern survives. A confidence-stratified robustness check restricting to the 198 high-confidence role-coding rows in the v1.0' base (excluding medium- and low-confidence codings) yields </w:t>
      </w:r>
      <w:r>
        <w:rPr>
          <w:i/>
        </w:rPr>
        <w:t>V</w:t>
      </w:r>
      <w:r>
        <w:t>_family = 0.292, within rounding of the headline 0.286 on all 595 v1.0' cells; the cross-lens direction (family &gt; capability) is preserved on the high-confidence subsample, so the H3 cell-level association is not an artifact of low-confidence rows.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(21 of 38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which on the v1.0' base yields 12 of 16 positive differences and a two-sided </w:t>
      </w:r>
      <w:r>
        <w:rPr>
          <w:i/>
        </w:rPr>
        <w:t>p</w:t>
      </w:r>
      <w:r>
        <w:t xml:space="preserve"> = 0.077 — short of the conventional 0.05 threshold; the paired Wilcoxon signed-rank on the same 16 differences yields </w:t>
      </w:r>
      <w:r>
        <w:rPr>
          <w:i/>
        </w:rPr>
        <w:t>W</w:t>
      </w:r>
      <w:r>
        <w:t xml:space="preserve"> = 20, </w:t>
      </w:r>
      <w:r>
        <w:rPr>
          <w:i/>
        </w:rPr>
        <w:t>p</w:t>
      </w:r>
      <w:r>
        <w:t xml:space="preserve"> = 0.011, retaining significance under the more powerful magnitude-using test. χ² on status × case-family is 100.68 (df=35, </w:t>
      </w:r>
      <w:r>
        <w:rPr>
          <w:i/>
        </w:rPr>
        <w:t>p</w:t>
      </w:r>
      <w:r>
        <w:t xml:space="preserve"> &lt; 10⁻⁵, V = 0.286); on status × AI capability, χ² = 34.70 (df=10, </w:t>
      </w:r>
      <w:r>
        <w:rPr>
          <w:i/>
        </w:rPr>
        <w:t>p</w:t>
      </w:r>
      <w:r>
        <w:t xml:space="preserve"> &lt; 10⁻³, V = 0.266).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595 role-coding cells as the units of randomization and yields </w:t>
      </w:r>
      <w:r>
        <w:rPr>
          <w:i/>
        </w:rPr>
        <w:t>p</w:t>
      </w:r>
      <w:r>
        <w:t xml:space="preserve"> = 0.0001 for case family and </w:t>
      </w:r>
      <w:r>
        <w:rPr>
          <w:i/>
        </w:rPr>
        <w:t>p</w:t>
      </w:r>
      <w:r>
        <w:t xml:space="preserve"> = 0.0005 for AI capability — but this null ignores within-case clustering (17 role-rows per case are not independent observations of role status). The </w:t>
      </w:r>
      <w:r>
        <w:rPr>
          <w:i/>
        </w:rPr>
        <w:t>case-level</w:t>
      </w:r>
      <w:r>
        <w:t xml:space="preserve"> Monte-Carlo test re-randomizes the 35 case-family labels under the clustering-aware null and yields </w:t>
      </w:r>
      <w:r>
        <w:rPr>
          <w:i/>
        </w:rPr>
        <w:t>p</w:t>
      </w:r>
      <w:r>
        <w:t xml:space="preserve"> = 0.34 for case family and </w:t>
      </w:r>
      <w:r>
        <w:rPr>
          <w:i/>
        </w:rPr>
        <w:t>p</w:t>
      </w:r>
      <w:r>
        <w:t xml:space="preserve"> = 0.21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35-case sample. We additionally report a </w:t>
      </w:r>
      <w:r>
        <w:rPr>
          <w:i/>
        </w:rPr>
        <w:t>case-cluster bootstrap</w:t>
      </w:r>
      <w:r>
        <w:t xml:space="preserve"> (B = 2,000, seed 20260425, resampling cases with replacement), which yields V_family 95% CI [0.273, 0.450], V_capability 95% CI [0.204, 0.483], and V_gap 95% CI [−0.117, 0.159] with P(gap &gt; 0) = 0.65;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three cell-level Monte-Carlo and Wilcoxon tests significant: (1) cell-level Monte-Carlo on case family (raw </w:t>
      </w:r>
      <w:r>
        <w:rPr>
          <w:i/>
        </w:rPr>
        <w:t>p</w:t>
      </w:r>
      <w:r>
        <w:t xml:space="preserve"> = 0.0001, adj. 0.0006); (2) cell-level Monte-Carlo on AI capability (raw 0.0005, adj. 0.0025); (3) per-role Wilcoxon signed-rank (raw 0.011, adj. 0.044). The pre-committed sign test does not survive Holm correction: (4) per-role paired sign test (raw 0.077, adj. 0.230). Neither case-level Monte-Carlo survives: (5) on AI capability (raw 0.21, adj. 0.41); (6) on case family (raw 0.34, adj. 0.41).</w:t>
      </w:r>
    </w:p>
    <w:p>
      <w:r>
        <w:t xml:space="preserve">H3 is therefore </w:t>
      </w:r>
      <w:r>
        <w:rPr>
          <w:i/>
        </w:rPr>
        <w:t>supported as a cell-level repository pattern, supported on the per-role Wilcoxon signed-rank test, but not significant on the pre-committed two-sided sign test (p = 0.077) and not significant under the clustering-aware case-level null (p = 0.34) at N</w:t>
      </w:r>
      <w:r>
        <w:t xml:space="preserve"> = 35 </w:t>
      </w:r>
      <w:r>
        <w:rPr>
          <w:i/>
        </w:rPr>
        <w:t>cases</w:t>
      </w:r>
      <w:r>
        <w:t xml:space="preserve">. The two lenses return the same direction at the cell level — case family is the stronger associate of role status (V = 0.286 vs. 0.266; V_family &gt; V_capability in 12 of 16 per-role tests) — but the magnitude tests (Wilcoxon, χ² Monte-Carlo) part company with the directional sign test on this sample, and neither sample-size-bounded test (case-level Monte-Carlo, sign test) reaches significance, so the manuscript should not over-claim. The pattern is consistent with Abbott's (1988) prediction that jurisdictional stability follows task structure rather than tool novelty, but the 35-case repository cannot license that theoretical claim at the population level; we do not generalize beyond the sample, and a 2027 extension that increases the case-level </w:t>
      </w:r>
      <w:r>
        <w:rPr>
          <w:i/>
        </w:rPr>
        <w:t>N</w:t>
      </w:r>
      <w:r>
        <w:t xml:space="preserve"> is the appropriate test of the case-level null and of the sign-test sensitivity.</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v1.0' inferential base (35 cases); </w:t>
      </w:r>
      <w:r>
        <w:rPr>
          <w:i/>
        </w:rPr>
        <w:t>excl</w:t>
      </w:r>
      <w:r>
        <w:t xml:space="preserve"> = 30 cases after the five-case exclusion;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14 / 11 / −3</w:t>
            </w:r>
          </w:p>
        </w:tc>
        <w:tc>
          <w:tcPr>
            <w:tcW w:type="dxa" w:w="1440"/>
          </w:tcPr>
          <w:p>
            <w:r/>
            <w:r>
              <w:t>5 / 5 / 0</w:t>
            </w:r>
          </w:p>
        </w:tc>
        <w:tc>
          <w:tcPr>
            <w:tcW w:type="dxa" w:w="1440"/>
          </w:tcPr>
          <w:p>
            <w:r/>
            <w:r>
              <w:t>8 / 7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7 / 5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8 / 7 / −1</w:t>
            </w:r>
          </w:p>
        </w:tc>
        <w:tc>
          <w:tcPr>
            <w:tcW w:type="dxa" w:w="1440"/>
          </w:tcPr>
          <w:p>
            <w:r/>
            <w:r>
              <w:t>0 / 0 / 0</w:t>
            </w:r>
          </w:p>
        </w:tc>
        <w:tc>
          <w:tcPr>
            <w:tcW w:type="dxa" w:w="1440"/>
          </w:tcPr>
          <w:p>
            <w:r/>
            <w:r>
              <w:t>5 / 4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12 / 8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14 / 11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38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(11 robust + 5 conditional + 7 transformed versus any other row). Calibration architect remains predominantly robust-or-conditional (5 robust + 9 conditional). The three shrinking-task clusters are still overwhelmingly shrinking (8, 11, and 8 observations respectively, with no case flipping to robust or transformed). H1 and H2 therefore survive the exclusion; the abstract's aggregate of 38 shrinking observations should be read as the v1.0' base figure, with 27 shrinking observations remaining under the additional five-case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and on the per-role Wilcoxon signed-rank test, but is </w:t>
      </w:r>
      <w:r>
        <w:rPr>
          <w:i/>
        </w:rPr>
        <w:t>not</w:t>
      </w:r>
      <w:r>
        <w:t xml:space="preserve"> significant on the pre-committed two-sided sign test (</w:t>
      </w:r>
      <w:r>
        <w:rPr>
          <w:i/>
        </w:rPr>
        <w:t>p</w:t>
      </w:r>
      <w:r>
        <w:t xml:space="preserve"> = 0.077) or under the clustering-aware case-level null at N = 35 (</w:t>
      </w:r>
      <w:r>
        <w:rPr>
          <w:i/>
        </w:rPr>
        <w:t>p</w:t>
      </w:r>
      <w:r>
        <w:t xml:space="preserve"> = 0.34): case family is the stronger associate of role status at the cell level (aggregate V = 0.286 versus 0.266 for capability; V_family &gt; V_capability in 12 of 16 per-role tests; cell-level Monte-Carlo </w:t>
      </w:r>
      <w:r>
        <w:rPr>
          <w:i/>
        </w:rPr>
        <w:t>p</w:t>
      </w:r>
      <w:r>
        <w:t xml:space="preserve"> = 0.0001 and Wilcoxon </w:t>
      </w:r>
      <w:r>
        <w:rPr>
          <w:i/>
        </w:rPr>
        <w:t>p</w:t>
      </w:r>
      <w:r>
        <w:t xml:space="preserve"> = 0.011 both survive Holm correction) while the sample-size-bounded tests (sign test, case-level Monte-Carlo) do not, so the H3 conclusion is bounded to the cell-level and signed-rank evidence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35 cases can license under the clustering-aware null, and the 2027 hold-out at </w:t>
      </w:r>
      <w:r>
        <w:rPr>
          <w:i/>
        </w:rPr>
        <w:t>N</w:t>
      </w:r>
      <w:r>
        <w:t xml:space="preserve"> = 60 is the appropriate test of the case-level ceiling and of the sign-test sensitivity.</w:t>
      </w:r>
    </w:p>
    <w:p>
      <w:r>
        <w:t xml:space="preserve">Framed this way, the audit's claims are within-sample associations at N = 35 (v1.0' base), not population-level effect estimates or causal claims; the §7 prescriptive recommendations are normative inferences from the descriptive pattern, and the 2027 hold-out at </w:t>
      </w:r>
      <w:r>
        <w:rPr>
          <w:i/>
        </w:rPr>
        <w:t>N</w:t>
      </w:r>
      <w:r>
        <w:t xml:space="preserve"> = 60 paired with the v1.1 redesign (borrowed-taxonomy coding, two-coder calibration to κ ≥ 0.70, three-lens triangulation across χ² / LCA / QCA, expert-panel instrument review) is the appropriate confirmatory apparatus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v1.0' inferential base (denominator = 595 cells throughout, after holding back Case 36 as a v1.1 design entry).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50 / 595 cells robust (23 of 35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86 / 595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32 / 595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38 / 595 cells shrinking (across 24 of 35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38 / 595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595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including the 17 v1.1-design rows for Case 36, CC-BY-4.0; the v1.0 inferential base is the 595 rows after </w:t>
      </w:r>
      <w:r>
        <w:rPr>
          <w:rFonts w:ascii="Consolas" w:hAnsi="Consolas"/>
          <w:sz w:val="21"/>
        </w:rPr>
        <w:t>cases_master.analysis_ready == "yes"</w:t>
      </w:r>
      <w:r>
        <w:t xml:space="preserve"> filtering); (2) </w:t>
      </w:r>
      <w:r>
        <w:rPr>
          <w:rFonts w:ascii="Consolas" w:hAnsi="Consolas"/>
          <w:sz w:val="21"/>
        </w:rPr>
        <w:t>cases_master.csv</w:t>
      </w:r>
      <w:r>
        <w:t xml:space="preserve"> (36 cases, CC-BY-4.0; one case flagged </w:t>
      </w:r>
      <w:r>
        <w:rPr>
          <w:rFonts w:ascii="Consolas" w:hAnsi="Consolas"/>
          <w:sz w:val="21"/>
        </w:rPr>
        <w:t>analysis_ready = v1.1_design</w:t>
      </w:r>
      <w:r>
        <w:t xml:space="preserve">); (3) </w:t>
      </w:r>
      <w:r>
        <w:rPr>
          <w:rFonts w:ascii="Consolas" w:hAnsi="Consolas"/>
          <w:sz w:val="21"/>
        </w:rPr>
        <w:t>role_coding_secondcoder_subsample.csv</w:t>
      </w:r>
      <w:r>
        <w:t xml:space="preserve"> (68 rows from Cases 2, 3, 7, 27 — none affected by the v42 audit; Appendix B κ values remain stable); (4) the codebook with a date-stamped version history; (5a) </w:t>
      </w:r>
      <w:r>
        <w:rPr>
          <w:rFonts w:ascii="Consolas" w:hAnsi="Consolas"/>
          <w:sz w:val="21"/>
        </w:rPr>
        <w:t>scripts/section6_analysis.py</w:t>
      </w:r>
      <w:r>
        <w:t xml:space="preserve"> (MIT) reproduces every inferential value in §6 — χ² = 100.68 (family) and 34.70 (capability), Cramér's </w:t>
      </w:r>
      <w:r>
        <w:rPr>
          <w:i/>
        </w:rPr>
        <w:t>V</w:t>
      </w:r>
      <w:r>
        <w:t xml:space="preserve"> = 0.286 (family) and 0.266 (capability), cell-level Monte-Carlo </w:t>
      </w:r>
      <w:r>
        <w:rPr>
          <w:i/>
        </w:rPr>
        <w:t>p</w:t>
      </w:r>
      <w:r>
        <w:t xml:space="preserve"> = 0.0001 / 0.0005 (seeds 20260423 and 20260424), case-level Monte-Carlo </w:t>
      </w:r>
      <w:r>
        <w:rPr>
          <w:i/>
        </w:rPr>
        <w:t>p</w:t>
      </w:r>
      <w:r>
        <w:t xml:space="preserve"> = 0.34 / 0.21 under the clustering-aware null, case-cluster bootstrap </w:t>
      </w:r>
      <w:r>
        <w:rPr>
          <w:i/>
        </w:rPr>
        <w:t>V</w:t>
      </w:r>
      <w:r>
        <w:t xml:space="preserve"> CIs (</w:t>
      </w:r>
      <w:r>
        <w:rPr>
          <w:i/>
        </w:rPr>
        <w:t>B</w:t>
      </w:r>
      <w:r>
        <w:t xml:space="preserve"> = 2,000, seed 20260425), per-role paired Wilcoxon </w:t>
      </w:r>
      <w:r>
        <w:rPr>
          <w:i/>
        </w:rPr>
        <w:t>W</w:t>
      </w:r>
      <w:r>
        <w:t xml:space="preserve"> = 20 / </w:t>
      </w:r>
      <w:r>
        <w:rPr>
          <w:i/>
        </w:rPr>
        <w:t>p</w:t>
      </w:r>
      <w:r>
        <w:t xml:space="preserve"> = 0.011 and the sign-test companion </w:t>
      </w:r>
      <w:r>
        <w:rPr>
          <w:i/>
        </w:rPr>
        <w:t>p</w:t>
      </w:r>
      <w:r>
        <w:t xml:space="preserve"> = 0.077 (12 of 16 positive), </w:t>
      </w:r>
      <w:r>
        <w:rPr>
          <w:i/>
        </w:rPr>
        <w:t>V</w:t>
      </w:r>
      <w:r>
        <w:t xml:space="preserve">_family = 0.292 on the 198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and F (reviewer-audit checklist), all under CC-BY-4.0; Appendix A — the released codebook itself — is held as a versioned artifact at the release tag rather than reproduced inside this manuscript.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xml:space="preserve">. The pre-analysis plan documents the v1.0 subsample protocol (subsample, coder-blindness, κ ≥ 0.60 acceptance threshold, tie-breaker-revision remedy) and the v1.1 redesign blueprint (Section 11): borrowed-taxonomy coding scheme, two-coder calibration to κ ≥ 0.70, expert-panel instrument review, three-lens triangulation, and the 2027 hold-out at </w:t>
      </w:r>
      <w:r>
        <w:rPr>
          <w:i/>
        </w:rPr>
        <w:t>N</w:t>
      </w:r>
      <w:r>
        <w:t xml:space="preserve"> = 60. The v1.1 redesign will be OSF-timestamped before any v1.1 coding pass.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Chen, Y., &amp; Hu, Y. (2025). Predicting field experiments with large language models. </w:t>
      </w:r>
      <w:r>
        <w:rPr>
          <w:i/>
        </w:rPr>
        <w:t>arXiv</w:t>
      </w:r>
      <w:r>
        <w:t xml:space="preserve"> preprint arXiv:2504.01167.</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Daugherty, P. R., &amp; Wilson, H. J. (2018). </w:t>
      </w:r>
      <w:r>
        <w:rPr>
          <w:i/>
        </w:rPr>
        <w:t>Human + machine: Reimagining work in the age of AI</w:t>
      </w:r>
      <w:r>
        <w:t>. Harvard Business Review Press.</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DiMaggio, P. J., &amp; Powell, W. W. (1983). The iron cage revisited: Institutional isomorphism and collective rationality in organizational fields. </w:t>
      </w:r>
      <w:r>
        <w:rPr>
          <w:i/>
        </w:rPr>
        <w:t>American Sociological Review</w:t>
      </w:r>
      <w:r>
        <w:t xml:space="preserve">, </w:t>
      </w:r>
      <w:r>
        <w:rPr>
          <w:i/>
        </w:rPr>
        <w:t>48</w:t>
      </w:r>
      <w:r>
        <w:t>(2), 147–160.</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Meyer, J. W., &amp; Rowan, B. (1977). Institutionalized organizations: Formal structure as myth and ceremony. </w:t>
      </w:r>
      <w:r>
        <w:rPr>
          <w:i/>
        </w:rPr>
        <w:t>American Journal of Sociology</w:t>
      </w:r>
      <w:r>
        <w:t xml:space="preserve">, </w:t>
      </w:r>
      <w:r>
        <w:rPr>
          <w:i/>
        </w:rPr>
        <w:t>83</w:t>
      </w:r>
      <w:r>
        <w:t>(2), 340–363.</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Qian, Y., &amp; Wen, Z. (2026). The rise of large language models and the direction and impact of US federal research funding. </w:t>
      </w:r>
      <w:r>
        <w:rPr>
          <w:i/>
        </w:rPr>
        <w:t>arXiv</w:t>
      </w:r>
      <w:r>
        <w:t xml:space="preserve"> preprint arXiv:2601.15485.</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